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ackground w:color="ffffff">
    <v:background id="_x0000_s1025" filled="t" fillcolor="white"/>
  </w:background>
  <w:body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3253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406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3253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shd w:val="clear" w:color="auto" w:fill="0032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5000" w:type="pct"/>
              <w:jc w:val="center"/>
              <w:tblCellSpacing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00325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5E0"/>
            </w:tblPr>
            <w:tblGrid>
              <w:gridCol w:w="9376"/>
            </w:tblGrid>
            <w:tr>
              <w:tblPrEx>
                <w:tblW w:w="5000" w:type="pct"/>
                <w:jc w:val="center"/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003253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  <w:tblLook w:val="05E0"/>
              </w:tblPrEx>
              <w:trPr>
                <w:tblCellSpacing w:w="15" w:type="dxa"/>
                <w:jc w:val="center"/>
              </w:trPr>
              <w:tc>
                <w:tcPr>
                  <w:tcW w:w="12300" w:type="dxa"/>
                  <w:shd w:val="clear" w:color="auto" w:fill="00325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"https://newtonone.newtonmedia.eu/cs-CZ" \t "_blank"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strike w:val="0"/>
                      <w:color w:val="0000EE"/>
                      <w:sz w:val="26"/>
                      <w:szCs w:val="26"/>
                      <w:u w:val="none" w:color="0000EE"/>
                    </w:rPr>
                    <w:drawing>
                      <wp:inline>
                        <wp:extent cx="1428750" cy="571500"/>
                        <wp:docPr id="100002" name="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6086856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ny"/>
                      <w:noProof/>
                      <w:color w:val="0000EE"/>
                      <w:sz w:val="26"/>
                      <w:szCs w:val="26"/>
                      <w:u w:val="single" w:color="0000EE"/>
                    </w:rPr>
                    <w:t xml:space="preserve"> </w:t>
                  </w:r>
                  <w:r>
                    <w:rPr>
                      <w:rStyle w:val="any"/>
                      <w:color w:val="0000EE"/>
                      <w:sz w:val="26"/>
                      <w:szCs w:val="26"/>
                      <w:u w:val="single" w:color="0000EE"/>
                    </w:rPr>
                    <w:fldChar w:fldCharType="end"/>
                  </w: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A4DF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406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A4DF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shd w:val="clear" w:color="auto" w:fill="00A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jc w:val="center"/>
              <w:tblCellSpacing w:w="0" w:type="dxa"/>
              <w:tblInd w:w="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9181"/>
            </w:tblGrid>
            <w:tr>
              <w:tblPrEx>
                <w:jc w:val="center"/>
                <w:tblCellSpacing w:w="0" w:type="dxa"/>
                <w:tblInd w:w="22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table"/>
                    <w:jc w:val="center"/>
                    <w:tblCellSpacing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5E0"/>
                  </w:tblPr>
                  <w:tblGrid>
                    <w:gridCol w:w="4329"/>
                    <w:gridCol w:w="4807"/>
                  </w:tblGrid>
                  <w:tr>
                    <w:tblPrEx>
                      <w:jc w:val="center"/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150" w:type="dxa"/>
                        <w:left w:w="150" w:type="dxa"/>
                        <w:bottom w:w="150" w:type="dxa"/>
                        <w:right w:w="150" w:type="dxa"/>
                      </w:tblCellMar>
                      <w:tblLook w:val="05E0"/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60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left"/>
                          <w:rPr>
                            <w:sz w:val="26"/>
                            <w:szCs w:val="26"/>
                          </w:rPr>
                        </w:pPr>
                        <w:bookmarkStart w:id="0" w:name="TableOfContent"/>
                        <w:bookmarkEnd w:id="0"/>
                      </w:p>
                    </w:tc>
                    <w:tc>
                      <w:tcPr>
                        <w:tcW w:w="62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any"/>
                            <w:noProof/>
                            <w:color w:val="FFFFFF"/>
                            <w:sz w:val="26"/>
                            <w:szCs w:val="26"/>
                          </w:rPr>
                          <w:t>Počet zpráv: 1</w:t>
                        </w:r>
                        <w:r>
                          <w:rPr>
                            <w:rStyle w:val="any"/>
                            <w:noProof/>
                            <w:color w:val="FFFFFF"/>
                            <w:sz w:val="26"/>
                            <w:szCs w:val="26"/>
                          </w:rPr>
                          <w:t>, 18.06.2021</w:t>
                        </w:r>
                      </w:p>
                    </w:tc>
                  </w:tr>
                </w:tbl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500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10500" w:type="dxa"/>
              <w:jc w:val="center"/>
              <w:tblCellSpacing w:w="0" w:type="dxa"/>
              <w:tblInd w:w="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10500"/>
            </w:tblGrid>
            <w:tr>
              <w:tblPrEx>
                <w:tblW w:w="10500" w:type="dxa"/>
                <w:jc w:val="center"/>
                <w:tblCellSpacing w:w="0" w:type="dxa"/>
                <w:tblInd w:w="22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sz w:val="26"/>
                      <w:szCs w:val="26"/>
                    </w:rPr>
                    <w:instrText xml:space="preserve">TOC \o "1-5" \x \h \z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"_Toc256000000"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1. AMI Communications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_Toc256000000 \h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"_Toc256000001"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Cenu Lemur vyhrál vzdělávací projekt ČT Edu, za přínos oboru oceněn Hrabovský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_Toc256000001 \h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>
              <w:tblPrEx>
                <w:tblW w:w="10500" w:type="dxa"/>
                <w:jc w:val="center"/>
                <w:tblCellSpacing w:w="0" w:type="dxa"/>
                <w:tblInd w:w="225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70" w:after="0" w:line="330" w:lineRule="atLeast"/>
                    <w:ind w:left="0" w:righ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\l "Art__0__0"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Cenu Lemur vyhrál vzdělávací projekt ČT Edu, za přínos oboru oceněn Hrabovský</w:t>
                  </w:r>
                  <w:bookmarkStart w:id="1" w:name="TOC__0__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fldChar w:fldCharType="end"/>
                  </w:r>
                  <w:bookmarkEnd w:id="1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"https://www.mediar.cz/cenu-lemur-vyhral-vzdelavaci-projekt-ct-edu-za-prinos-oboru-ocenen-hrabovsky/"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link-url"/>
                      <w:noProof/>
                    </w:rPr>
                    <w:t>URL</w:t>
                  </w:r>
                  <w:r>
                    <w:rPr>
                      <w:rStyle w:val="link-url"/>
                    </w:rPr>
                    <w:fldChar w:fldCharType="end"/>
                  </w:r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>
                  <w:pPr>
                    <w:pStyle w:val="metada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" w:after="75"/>
                    <w:rPr>
                      <w:color w:val="A4ACB3"/>
                      <w:sz w:val="18"/>
                      <w:szCs w:val="18"/>
                    </w:rPr>
                  </w:pPr>
                  <w:r>
                    <w:rPr>
                      <w:rStyle w:val="metadata-value"/>
                      <w:noProof/>
                    </w:rPr>
                    <w:t xml:space="preserve">mediar.cz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17.06.2021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Články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0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redakce </w:t>
                  </w:r>
                </w:p>
                <w:p>
                  <w:pPr>
                    <w:pStyle w:val="content-widt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75" w:after="75" w:line="25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Svencom s. r. o. 5. Skákal PES: Jak jsme otevřeli horská střediska AMI Communications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Asociaci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v ČR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 xml:space="preserve"> Media relations Projekt ...</w:t>
                  </w:r>
                </w:p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single" w:sz="18" w:space="0" w:color="FFFFFF"/>
                      <w:right w:val="none" w:sz="0" w:space="0" w:color="auto"/>
                    </w:pBdr>
                    <w:shd w:val="clear" w:color="auto" w:fill="00A4DF"/>
                    <w:spacing w:before="270" w:after="75" w:line="45" w:lineRule="atLeast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noProof/>
                      <w:sz w:val="13"/>
                      <w:szCs w:val="13"/>
                    </w:rPr>
                    <w:t> </w:t>
                  </w:r>
                </w:p>
                <w:tbl>
                  <w:tblPr>
                    <w:tblStyle w:val="table"/>
                    <w:tblCellSpacing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919"/>
                    <w:gridCol w:w="30"/>
                  </w:tblGrid>
                  <w:tr>
                    <w:tblPrEx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anyParagraph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317" w:after="317" w:line="330" w:lineRule="atLeast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38"/>
                            <w:szCs w:val="38"/>
                          </w:rPr>
                          <w:t>Plná znění</w:t>
                        </w:r>
                      </w:p>
                    </w:tc>
                    <w:tc>
                      <w:tcPr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pStyle w:val="Heading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15" w:lineRule="atLeast"/>
                    <w:ind w:left="0" w:right="0"/>
                    <w:rPr>
                      <w:color w:val="FFFFFF"/>
                      <w:sz w:val="0"/>
                      <w:szCs w:val="0"/>
                    </w:rPr>
                  </w:pPr>
                  <w:bookmarkStart w:id="2" w:name="_Toc256000000"/>
                  <w:r>
                    <w:rPr>
                      <w:rFonts w:ascii="Arial" w:eastAsia="Arial" w:hAnsi="Arial" w:cs="Arial"/>
                      <w:noProof/>
                      <w:color w:val="FFFFFF"/>
                      <w:sz w:val="0"/>
                      <w:szCs w:val="0"/>
                    </w:rPr>
                    <w:t>1. AMI Communications</w:t>
                  </w:r>
                  <w:bookmarkEnd w:id="2"/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br/>
                  </w:r>
                </w:p>
                <w:tbl>
                  <w:tblPr>
                    <w:tblStyle w:val="table"/>
                    <w:jc w:val="center"/>
                    <w:tblCellSpacing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500"/>
                  </w:tblGrid>
                  <w:tr>
                    <w:tblPrEx>
                      <w:jc w:val="center"/>
                      <w:tblCellSpacing w:w="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"/>
                          <w:jc w:val="center"/>
                          <w:tblCellSpacing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5E0"/>
                        </w:tblPr>
                        <w:tblGrid>
                          <w:gridCol w:w="10500"/>
                        </w:tblGrid>
                        <w:tr>
                          <w:tblPrEx>
                            <w:jc w:val="center"/>
                            <w:tblCellSpacing w:w="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Heading1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0" w:after="0" w:line="15" w:lineRule="atLeast"/>
                                <w:ind w:left="0" w:right="0"/>
                                <w:rPr>
                                  <w:color w:val="FFFFFF"/>
                                  <w:sz w:val="0"/>
                                  <w:szCs w:val="0"/>
                                </w:rPr>
                              </w:pPr>
                              <w:bookmarkStart w:id="3" w:name="_Toc256000001"/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t>Cenu Lemur vyhrál vzdělávací projekt ČT Edu, za přínos oboru oceněn Hrabovský</w:t>
                              </w:r>
                              <w:bookmarkEnd w:id="3"/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instrText xml:space="preserve"> HYPERLINK \l "TOC__0__0" </w:instrText>
                              </w:r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separate"/>
                              </w:r>
                            </w:p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330" w:lineRule="atLeast"/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</w:pPr>
                              <w:r>
                                <w:rPr>
                                  <w:rStyle w:val="any"/>
                                  <w:noProof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t>Cenu Lemur vyhrál vzdělávací projekt ČT Edu, za přínos oboru oceněn Hrabovský</w:t>
                              </w:r>
                              <w:bookmarkStart w:id="4" w:name="Art__0__0"/>
                              <w:r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fldChar w:fldCharType="end"/>
                              </w:r>
                              <w:bookmarkEnd w:id="4"/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instrText xml:space="preserve"> HYPERLINK "https://www.mediar.cz/cenu-lemur-vyhral-vzdelavaci-projekt-ct-edu-za-prinos-oboru-ocenen-hrabovsky/" </w:instrTex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link-url"/>
                                  <w:noProof/>
                                </w:rPr>
                                <w:t>URL</w:t>
                              </w:r>
                              <w:r>
                                <w:rPr>
                                  <w:rStyle w:val="link-url"/>
                                </w:rPr>
                                <w:fldChar w:fldCharType="end"/>
                              </w:r>
                              <w:r>
                                <w:rPr>
                                  <w:rStyle w:val="any"/>
                                  <w:noProof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jc w:val="center"/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metadat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30" w:after="75"/>
                                <w:rPr>
                                  <w:color w:val="A4ACB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mediar.cz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17.06.2021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Rubrika: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Články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Strana: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0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Autor: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redakce </w:t>
                              </w:r>
                            </w:p>
                            <w:p>
                              <w:pPr>
                                <w:pStyle w:val="content-width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75" w:after="75" w:line="255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Absolutním vítězem a držitelem zlatého Lemura 16. ročníku oborové soutěže Lemur – Česká cena za public relations 2021 se stal projekt ČT Edu, který vytvořila Česká televize. Jako autorka myšlenky na počátku stála Alžběta Plívová z divize komunikace veřejnoprávní instituce.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Cílem vítězného projektu bylo nahradit standardní výuku, o kterou žáci a studenti v průběhu pandemie přišli. ČT v krátkém čase vytvořila digitální pomůcku, která odpovídala školním osnovám a přesunula vzdělávání do online prostředí. Za rok projekt ČT Edu poskytl výuku 1,2 milionu studentů a staženo bylo 60.000 pracovních listů. V současné době ČT Edu nabízí 6.500 výukových videí a měsíčně web navštíví 150.000 registrovaných uživatelů.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Projekt získal kromě ceny pro Absolutního vítěze i první místo v kategorii Společenská odpovědnost a filantropie a zabodoval i druhým místem v kategorii Digital &amp; social media – digitální komunikace.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Projekt uspěl v konkurenci dalších 182 projektů, které byly prostřednictvím 325 přihlášek hodnoceny v 31 kategoriích. „Zaznamenali jsme nejvyšší počet přihlášených projektů od vzniku soutěže, což představuje nárůst oproti loňskému roku o víc než 50 %. Zároveň se velká část kampaní týkala pandemie, která schopnost komunikace firem i veřejných institucí řádně prověřila,“ přibližuje Václav Pavelka, člen výkonné rady Asociace public relations (APRA) odpovědný za soutěž Lemur. Slavnostní vyhlášení výsledků se v důsledku vládních opatření konalo online, stejně jako loni. Předtočeným ceremoniálem provedl moderátor Petr Suchoň.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Z přihlašovatelů nejvíce bodovala agentura AMI Communications s 10 oceněními a o druhou příčku se dělí agentura Ogilvy s Českou televizí, shodně získali šest Lemurů.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Ocenění za přínos oboru public relations udělila výkonná rada APRA Jiřímu Hrabovskému, který léta patřil k image agentury Ewing. „S Jiřím se potkávám posledních dvacet let jako konkurent ve výběrových řízeních, v APRA, v porotách soutěží, ale i jako partner při společných projektech. Vždy mě fascinovalo, jak je pohotový, přemýšlivý, profesionální, velkorysý, dbá na etiku a hlavně do každého projektu se snaží dát něco ze svého já,“ uvádí k ocenění Patrik Schober, předseda výkonné rady APRA.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Jiří Hrabovský je jeden ze spoluzakladatelů Asociace public relations a několik let působil jako její předseda. Ve své kariéře si vyzkoušel všechny strany pomyslné barikády - byl nejdřív novinářem, následně šéfem komunikace největší české firmy a nakonec přešel do PR agentury. Jedná se o diverzitu zkušeností, která je v dnešní době neobvyklá. „O Jiřím Hrabovském můžeme prohlásit, že byl jedním ze dvou pionýrů krizové komunikace v Čechách. A mimo jiné i díky němu má dnes krizová komunikace hodnotu takovou jako má. Inspiroval minimálně tisícovku mladých lidí pro kariéru v PR, kteří dnes pracují v PR agenturách a různých organizacích. České PR potřebuje více Jiřích Hrabovských,“ doplňuje důvody ocenění Schober.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Ocenění pro nejlepší tiskové mluvčí získali Jiří Frölich z České obchodní inspekce ve státním sektoru a Václav Koukolíček z řetězce Tesco v soukromém sektoru.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Kompletní výsledky cen Lemur 2021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K nejsilněji zastoupeným patřila tradičně kategorie B2C (26 projektů) spolu s kategorií Media Relations (26). Velký počet přihlášených projektů zaznamenala i kategorie Společenská odpovědnost a filantropie (22), Akce a události (21) či Integrovaná komunikace (17) a Technologie, IT (17). Vzhledem k počtu projektů a počtu nominovaných tiskových mluvčí bylo sestaveno osm hodnotících komisí složených z odborníků na public relations a komunikaci z agentur, firem a státních a neziskových organizací. Porotci hodnotili projekty i nominované tiskové mluvčí přihlášené do jednotlivých kategorií ve třech kolech.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Komunikační disciplíny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Firemní komunikace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Experiment Prvok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Buřinka; DotCom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Tereza Syslová, Veronika Menschiková, Hana Burečková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We are Lightkeepers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Preciosa Lighting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Preciosa Lighting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PRAM Consulting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Preciosa Lighting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To jsou fejky, kámo!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a Štěpán Vodrážka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Giant Interactive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Dušan Benža, Štěpán Vodrážka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Haló, nejste sami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Heimstaden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Heimstaden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ADRA, Ostravská univerzita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Jaderná vinice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ČEZ, a. 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širokou veřejnost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Víno Prokeš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Společenská odpovědnost a filantropie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ČT edu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Alžběta Plívová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Milada 70: Zavražděna komunisty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PIART, Communication Lab,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Dekomunizace.cz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70, Dekomunizace.cz, MVP events, Díky, že můžem, Artur Production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70: Michal Gregorini (Dekomunizace, o.?s.), Leoš Válka (DOX), Marek Vocel (MVP events), Ondřej Boháč (Institut plánování a rozvoje hl. m. Prahy)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 bezpečný domov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Ogilvy, Triad, Dentsu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#NebuďJarda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C&amp;B Reputation Management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Nedoklubko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Hotshots,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Výčepní na chmelu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Svencom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 lahve bude lahev – pilotní projekt cirkulární PET lahve a plechovky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Mattoni 1873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Mattoni 1873, Košík.cz, FYI Prague, AMI Digital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Business to Business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Výčepní na chmelu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Svencom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+ 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Slepá místa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TAKTIQ Communications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Axis Communications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Svaz měst a obcí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Ivan Sobička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KPMG30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Dušan Benža, Štěpán Kačena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Průmyslový development s duší Ostravaka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P3 Logistic Parks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Co nás naučila situace zavřených kanceláří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Tým Microsoft a 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Microsoft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Atairu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Business to Consumer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Dříč roku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AC&amp;C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Kofola ČeskoSlovensko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ACC Public Relations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AC&amp;C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Experiment Prvok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Buřinka; DotCom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Tereza Syslová, Veronika Menschiková, Hana Burečková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Světový den srdce: Jídlo je nejlepší lék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AC&amp;C, Public Relations,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Upfield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Uniomedia / Rothman &amp; Roman Network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Martin Plesný, Zdeňka Učňová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šije s vámi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Retail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Průvodce udržitelnými nákupy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Westfield Chodov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Interní komunikace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Zelená vlna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E.ON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E.ON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Frank Ateliér a studio LightBusters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Tým interní komunikace, E.ON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Interní komunikace UP během covidu-19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Univerzita Palackého v Olomouci (oddělení komunikace)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Univerzita Palackého v Olomouci (oddělení komunikace)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Gabriela Sýkorová Dvorníková (vedoucí oddělení komunikace a tisková mluvčí UP)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Radimova interní komunikace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Český rozhlas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Český rozhlas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Oddělení komunikace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Certifikační speciál ENGÉČKO 12°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AERO Vodochody AEROSPACE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AERO Vodochody AEROSPACE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Břevnovský klášterní pivovar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Avataři ovládli teambuilding Microsoftu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Microsoft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Conferomatic a Audiolight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Lidi lidem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NN ČR a My.cz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NN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Krizová komunikace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Nejznámější těhubříško Facebooku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Krajská nemocnice Liberec,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Krajská nemocnice Liberec,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Václav Řičář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Země v nouzi – komunikace v době pandemie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Nevyplněno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Miliarda pro autobusy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The Ship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Za autobusy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PR.Konektor, Konektor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Petr Pařízek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Výčepní na chmelu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Svencom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Skákal PES: Jak jsme otevřeli horská střediska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Asociaci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horských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středisek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v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AHS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Media relations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Experiment Prvok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Buřinka; DotCom Tereza Syslová, Veronika Menschiková, Hana Burečková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Tereza Syslová, Veronika Menschiková, Hana Burečková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Dejte dospělým kostky Lego do rukou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Lego Trading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Prazdroj pomáhá hospodám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Svencom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+ 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Dříč roku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AC&amp;C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Kofola ČeskoSlovensko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ACC Public Relations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McDonald’s: Hudbou spolu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MSL Czech Republic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McDonald's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DDB Prague, Follow Bubble, United Islands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Integrovaná komunikace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 lahve bude lahev – pilotní projekt cirkulární PET lahve a plechovky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Mattoni 1873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Mattoni 1873, Košík.cz, FYI Prague, AMI Digital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Experiment Prvok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Buřinka; DotCom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Tereza Syslová, Veronika Menschiková, Hana Burečková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Srdeční procházkové trasy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Havas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Novartis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Jak falešný seriál vzbudil zájem o pěstounskou péči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Social, PR.Konektor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Magistrát hl. m. Praha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Prazdroj pomáhá hospodám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Svencom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Komplexní informační servis v době koronavirové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HAVEL &amp; PARTNERS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HAVEL &amp; PARTNERS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HAVEL &amp; PARTNERS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Oborové kategorie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Finanční trh a finanční služby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To jsou fejky, kámo!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a Štěpán Vodrážka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Giant Interactive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Dušan Benža, Štěpán Vodrážka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Experiment Prvok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Stavební spořitelna České spořitelny, Buřinka; DotCom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Tereza Syslová, Veronika Menschiková, Hana Burečková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CREDITAS: Nebojte se dlouhých fixací!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CHM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Banka CREDITAS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Ivo Měšťánek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KPMG30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Jistota pro vaše úspory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 C, Public Relations,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Garanční systém finančního trhu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SocialBooster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Spotřební zboží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Dříč roku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AC&amp;C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Kofola ČeskoSlovensko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ACC Public Relations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AC&amp;C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 lahve bude lahev – pilotní projekt cirkulární PET lahve a plechovky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Mattoni 1873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Mattoni 1873, Košík.cz, FYI Prague, AMI Digital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Světový den srdce: Jídlo je nejlepší lék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 C, Public Relations,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Upfield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Uniomedia / Rothman &amp; Roman Network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Martin Plesný, Zdeňka Učňová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Průvodce udržitelnými nákupy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Westfield Chodov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Objevte světová místa v Česku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Havas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Heineken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Bistro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Zdravotnictví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Migréna jako zlodějka životů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MaVe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Teva Pharmaceuticals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pacientská organizace Migréna-help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MaVe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Srdeční procházkové trasy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Havas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Novartis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Liberate Life: svobodný život s hemofilií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Ewing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Swedish Orphan Biovitrum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David Vondra, Kateřina Popová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David Vondra, Kateřina Popová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ČAFF: Když průzkum zachraňuje životy.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Fleishman-Hillard,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asociace farmaceutických firem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Blogujeme o mrtvici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Bison&amp;Rose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Čas je mozek - Medtronic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Technologie, IT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Kladivo na fake news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MaVe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Cogniware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MaVe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Jak Google oslavil statečnost českých studentů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Havas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Google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Post Bellum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Buď safe online: Interaktivní platforma pro děti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Avast Software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Avast Software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Social Park, Giant interactive s.r.o, Projekt E-Bezpečí Univerzity Palackého v Olomouci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Avast a Jiří Král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Cloud je nuda (nebo ne?)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AC&amp;C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T-Mobile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SocialBooster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Zastavme společně šíření koronaviru s aplikací Mapy.cz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Seznam.cz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Mapy.cz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Státní správa, politika, neziskový sektor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Korzo Národní i u vás doma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Díky, že můžem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Díky, že můžem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Díky, že můžem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Milada 70: Zavražděna komunisty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PIART, Communication Lab,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Dekomunizace.cz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70, Dekomunizace.cz, MVP events, Díky, že můžem, Artur Production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70: Michal Gregorini (Dekomunizace, o.?s.), Leoš Válka (DOX), Marek Vocel (MVP events), Ondřej Boháč (Institut plánování a rozvoje hl. m. Prahy)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Jak falešný seriál vzbudil zájem o pěstounskou péči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Social, PR.Konektor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Magistrát hl. m. Praha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 hlavní roli strojař se vrací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Action Please a Idea Please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Fakulta strojní VŠB-TUO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Sčítání lidu: přehledně, regionálně a v kapesním vydání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Český statistický úřad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Český statistický úřad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Průmysl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Výčepní na chmelu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Svencom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+ 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Firmy společně proti koronaviru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Svaz průmyslu a dopravy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Svaz průmyslu a dopravy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MgA David Töpper, Jan Fumfálek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Svaz průmyslu a dopravy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STADA proměňuje Walmark z rodinné firmy na mezinárodního hráče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MSL Czech Republic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STADA PHARMA 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MSL Czech Republic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 hlavní roli strojař se vrací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Action Please a Idea Please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Fakulta strojní VŠB-TUO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Radim Dittrich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Průmyslový development s duší Ostravaka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P3 Logistic Parks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Služby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Komplexní informační servis v době koronavirové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HAVEL &amp; PARTNERS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HAVEL &amp; PARTNERS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Veronika Dvořáková a marketing H&amp;P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Miliarda pro autobusy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The Ship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Za autobusy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PR.Konektor, Konektor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Petr Pařízek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McDonald’s: Hudbou spolu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MSL Czech Republic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McDonald's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DDB Prague, Follow Bubble, United Islands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McDonald's/United Islands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Prazdroj pomáhá hospodám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Svengali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Plzeňský Prazdroj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Svencom s. r. 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Haló, nejste sami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Heimstaden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Heimstaden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ADRA, Ostravská univerzita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Zábava a sport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Skákal PES: Jak jsme otevřeli horská střediska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Asociaci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horských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středisek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v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AHS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Tereza Syslová, Lucie Kolomá, Martina Jiroušová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Božena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Runway Park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Letiště Praha,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Letiště Praha,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Tým Letiště Praha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Song pro tebe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Taktiq Communications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Samsung Electronics Czech and Slovak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McDonald’s: Hudbou spolu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MSL Czech Republic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McDonald's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DDB Prague, Follow Bubble, United Islands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Kopeme za fotbal a Výkopná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Bison &amp; Rose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Gambrinus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7.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Personalizovaný trailer na rok 2020: inovace a kreativita znásobily konverze 23,6 x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HBO Europe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Komunikační nástroje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Firemní publikace a časopisy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Interní magazín NEON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Communication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E.ON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E.ON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Tým interní komunikace E.ONu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Výročka jinak aneb magazín spACCes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Accolade Holding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Visualio, Accolade Holding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Scuderia Magazín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Luova Publishing,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Scuderia Praha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Luova Publishing,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Scuderia Praha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ReThink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Focus Agency,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Konica Minolta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H&amp;P magazín - moderní firemní časopis s důrazem na aktuální obsah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HAVEL &amp; PARTNERS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HAVEL &amp; PARTNERS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Foxo,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Firemní publikace - výroční zprávy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Výroční zpráva Nadace ČEZ za rok 2019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TOP Partners,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Nadaci ČEZ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TOP Partners,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Výroční zpráva CSR ČSOB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Bison &amp; Rose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ČSOB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Firemní publikace – brožury, bulletiny, newslettery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LMC Ročenka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Communication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LMC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LMC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Communication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Prokletí kožodlaka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Stance Communications,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Spolek psoriatiků a atopických ekzematiků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Stance Communications,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Manifest důvěrismu aneb Strážná věž pozorující sílící roli důvěry v marketingu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Place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Jízda do budoucnosti – ENYAQ iV (Příloha ŠKODA Mobilu)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Communication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ŠKODA AUTO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ŠKODA AUTO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125 let ŠKODA AUTO: Mistři svého řemesla (příloha ŠKODA Mobilu)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Communication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ŠKODA AUTO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ŠKODA AUTO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Firemní publikace – blogy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Magazín LMC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Boomerang Communication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LMC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LMC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Blogujeme o mrtvici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Bison&amp;Rose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Čas je mozek - Medtronic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Bison&amp;Rose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Marketing journal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Focus Agency,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Focus Agency,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Robert Svoboda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Firemní publikace – webové stránky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Univerzitníměsto.cz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oddělení komunikace Univerzity Palackého v Olomouci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Univerzita Palackého v Olomouci (oddělení komunikace)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Lukáš Novák (Full-stack mobilní a web developer), Chaoscompany.art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Ondřej Martínek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Nový web komunikační agentury Lesensky.cz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Lesensky.cz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Lesensky.cz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Lesensky.cz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Lesensky.cz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Akce a události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Jaderná vinice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ČEZ, a. 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širokou veřejnost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Víno Prokeš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Ladislav Kříž, Jiří Bezděk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Milada 70: Zavražděna komunisty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PIART, Communication Lab,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Dekomunizace.cz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70, Dekomunizace.cz, MVP events, Díky, že můžem, Artur Production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70: Michal Gregorini (Dekomunizace, o.?s.), Leoš Válka (DOX), Marek Vocel (MVP events), Ondřej Boháč (Institut plánování a rozvoje hl. m. Prahy)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Elektrokola na Berounsku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Nadace Tipsport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Nadaci Tipsport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MediaTrust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Lucia Štefánková, Markéta Světlíková, Dejan Galovič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Korzo Národní i u vás doma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Díky, že můžem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Díky, že můžem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Haló, nejste sami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Heimstaden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Heimstaden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ADRA, Ostravská univerzita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Tiskové konference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Tiskovky v době covidové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Canvas tiskový briefing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Taktiq Communications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Samsung Electronics Czech and Slovak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Samsung, Quix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Samsung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Lokální IFA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PRAM Consulting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Philips TV &amp; Sound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PRAM Consulting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Poraž obezitu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Bison&amp;Rose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 lehčí život - Medtronic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Radek Ivaniškin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Digital &amp; social media – digitální komunikace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Hrdina VUT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Filmagix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Vysoké učení technické v Brně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Epicture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Michal Orsava, Lenka Gumulec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ČT edu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Alžběta Plívová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McTV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Follow Bubble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McDonald's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McDonald's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Martin Pistulka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 hlavní roli strojař se vrací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Action Please a Idea Please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Fakulta strojní VŠB-TUO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Personalizovaný trailer na rok 2020: inovace a kreativita znásobily konverze 23,6 x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HBO Europe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Digital &amp; social media – social media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Knihy ožívají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Knihy Dobrovský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Knihy Dobrovský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DOBROVSKÝ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Kateřina Valterová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Jak si čistit správně zuby? Zeptali jsme se nejmenších odborníků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Follow Bubble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Philips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Philips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Martin Pistulka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Jak Google oslavil statečnost českých studentů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Havas PR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Google ČR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Post Bellum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Milada 70: Zavražděna komunisty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PIART, Communication Lab,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Dekomunizace.cz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70, Dekomunizace.cz, MVP events, Díky, že můžem, Artur Production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To jsou fejky, kámo!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a Štěpán Vodrážka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KPMG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Giant Interactive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 hlavní roli strojař se vrací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Action Please a Idea Please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Fakulta strojní VŠB-TUO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Digital &amp; social media – spolupráce s influencery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šije s vámi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Retail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 Consumer team 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Tichý launch Lego Dots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Lego Trading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Continental „Share the Road“; věčná válka cyklistů a motoristů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Communications, spol. s 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Continental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AMI Communications, spol. s 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 ZOOT jsme zparodovali vánoční klasiky a fanoušci to milovali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Konektor Social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Zoot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Domácí násilí je skutečné, i když není vždy vidět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IKEA Retail Česká republika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Řízení kampaně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Vyhodnocení kampaně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Dejte dospělým kostky Lego do rukou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Lego Trading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Jeden Čech, jeden strom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Nadace Tipsport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Nadaci Tipsport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MediaTrust Communications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Dejan Galovič, Milan Hladký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Tichý launch Lego Dots zvedá celou kategorii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Ogilvy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Lego Trading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Není uvedeno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Jídlo pro všechny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Tesco Stores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Tesco Stores a.s.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Milada 70: Zavražděna komunisty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PIART, Communication Lab, s.r.o.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Dekomunizace.cz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Iniciativa Milada 70, Dekomunizace.cz, MVP events, Díky, že můžem, Artur Production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Absolutní vítěz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Projekt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Přihlašovatel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Zadavatel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Podíleli se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Autor myšlenky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ČT edu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Česká televize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Alžběta Plívová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Tváře v PR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Tiskový mluvčí - soukromý sektor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Václav Koukolíček (Tesco)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Kamil Chalupa (Zásilkovna)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Andrea Řezníčková (CK Invia)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Tiskový mluvčí - státní sektor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Jiří Fröhlich (ČOI)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Martin Šalek (MČ Praha 8)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Jitka Drmolová (ČSSZ)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Cena za přínos oboru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Jiří Hrabovský (Ewing)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/>
    <w:sectPr>
      <w:footerReference w:type="default" r:id="rId5"/>
      <w:pgMar w:right="850" w:left="85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>PAGE</w:instrText>
    </w:r>
    <w:r>
      <w:fldChar w:fldCharType="separate"/>
    </w:r>
    <w:r>
      <w:t>36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36</w:t>
    </w:r>
    <w:r>
      <w:fldChar w:fldCharType="end"/>
    </w:r>
    <w:r>
      <w:t xml:space="preserve"> </w:t>
      <w:tab/>
      <w:t xml:space="preserve"> © </w:t>
    </w:r>
    <w:r>
      <w:fldChar w:fldCharType="begin"/>
    </w:r>
    <w:r>
      <w:instrText>DATE \@ "yyyy"</w:instrText>
    </w:r>
    <w:r>
      <w:fldChar w:fldCharType="separate"/>
    </w:r>
    <w:r>
      <w:fldChar w:fldCharType="end"/>
    </w:r>
    <w:r>
      <w:t xml:space="preserve"> NEWTON Media | www.newtonmedia.eu |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updateFields w:val="true"/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y">
    <w:name w:val="any"/>
    <w:basedOn w:val="DefaultParagraphFont"/>
  </w:style>
  <w:style w:type="table" w:customStyle="1" w:styleId="table">
    <w:name w:val="table"/>
    <w:basedOn w:val="TableNormal"/>
    <w:tblPr/>
  </w:style>
  <w:style w:type="paragraph" w:customStyle="1" w:styleId="content-width">
    <w:name w:val="content-width"/>
    <w:basedOn w:val="Normal"/>
  </w:style>
  <w:style w:type="paragraph" w:customStyle="1" w:styleId="anyParagraph">
    <w:name w:val="any Paragraph"/>
    <w:basedOn w:val="Normal"/>
  </w:style>
  <w:style w:type="character" w:customStyle="1" w:styleId="link-url">
    <w:name w:val="link-url"/>
    <w:basedOn w:val="DefaultParagraphFont"/>
    <w:rPr>
      <w:color w:val="00A4DF"/>
      <w:sz w:val="18"/>
      <w:szCs w:val="18"/>
    </w:rPr>
  </w:style>
  <w:style w:type="paragraph" w:customStyle="1" w:styleId="metadata">
    <w:name w:val="metadata"/>
    <w:basedOn w:val="Normal"/>
    <w:pPr>
      <w:spacing w:line="240" w:lineRule="atLeast"/>
    </w:pPr>
    <w:rPr>
      <w:color w:val="A4ACB3"/>
      <w:sz w:val="18"/>
      <w:szCs w:val="18"/>
    </w:rPr>
  </w:style>
  <w:style w:type="character" w:customStyle="1" w:styleId="metadata-item">
    <w:name w:val="metadata-item"/>
    <w:basedOn w:val="DefaultParagraphFont"/>
    <w:rPr>
      <w:color w:val="6B7276"/>
      <w:sz w:val="18"/>
      <w:szCs w:val="18"/>
    </w:rPr>
  </w:style>
  <w:style w:type="character" w:customStyle="1" w:styleId="metadata-value">
    <w:name w:val="metadata-value"/>
    <w:basedOn w:val="DefaultParagraphFont"/>
    <w:rPr>
      <w:color w:val="6B7276"/>
    </w:rPr>
  </w:style>
  <w:style w:type="paragraph" w:customStyle="1" w:styleId="duplicities">
    <w:name w:val="duplicities"/>
    <w:basedOn w:val="Normal"/>
  </w:style>
  <w:style w:type="paragraph" w:styleId="TOC1">
    <w:name w:val="toc 1"/>
    <w:basedOn w:val="Normal"/>
    <w:next w:val="Normal"/>
    <w:autoRedefine/>
    <w:rsid w:val="00805BCE"/>
    <w:pPr>
      <w:tabs>
        <w:tab w:val="right" w:pos="10400"/>
      </w:tabs>
      <w:spacing w:after="200"/>
    </w:pPr>
    <w:rPr>
      <w:b w:val="0"/>
      <w:sz w:val="24"/>
    </w:rPr>
  </w:style>
  <w:style w:type="paragraph" w:styleId="TOC2">
    <w:name w:val="toc 2"/>
    <w:basedOn w:val="Normal"/>
    <w:next w:val="Normal"/>
    <w:autoRedefine/>
    <w:rsid w:val="00805BCE"/>
    <w:pPr>
      <w:tabs>
        <w:tab w:val="right" w:pos="10400"/>
      </w:tabs>
      <w:spacing w:after="200"/>
      <w:ind w:left="240"/>
      <w:contextualSpacing w:val="0"/>
    </w:pPr>
    <w:rPr>
      <w:b w:val="0"/>
      <w:sz w:val="22"/>
    </w:rPr>
  </w:style>
  <w:style w:type="paragraph" w:styleId="TOC3">
    <w:name w:val="toc 3"/>
    <w:basedOn w:val="Normal"/>
    <w:next w:val="Normal"/>
    <w:autoRedefine/>
    <w:rsid w:val="00805BCE"/>
    <w:pPr>
      <w:tabs>
        <w:tab w:val="right" w:pos="10400"/>
      </w:tabs>
      <w:spacing w:after="200"/>
      <w:ind w:left="480"/>
      <w:contextualSpacing w:val="0"/>
    </w:pPr>
    <w:rPr>
      <w:b w:val="0"/>
      <w:i w:val="0"/>
      <w:sz w:val="20"/>
    </w:rPr>
  </w:style>
  <w:style w:type="paragraph" w:styleId="TOC4">
    <w:name w:val="toc 4"/>
    <w:basedOn w:val="Normal"/>
    <w:next w:val="Normal"/>
    <w:autoRedefine/>
    <w:rsid w:val="00805BCE"/>
    <w:pPr>
      <w:tabs>
        <w:tab w:val="right" w:pos="10400"/>
      </w:tabs>
      <w:spacing w:after="200"/>
      <w:ind w:left="720"/>
      <w:contextualSpacing w:val="0"/>
    </w:pPr>
    <w:rPr>
      <w:b w:val="0"/>
      <w:i w:val="0"/>
      <w:sz w:val="18"/>
    </w:rPr>
  </w:style>
  <w:style w:type="paragraph" w:styleId="TOC5">
    <w:name w:val="toc 5"/>
    <w:basedOn w:val="Normal"/>
    <w:next w:val="Normal"/>
    <w:autoRedefine/>
    <w:rsid w:val="00805BCE"/>
    <w:pPr>
      <w:tabs>
        <w:tab w:val="right" w:pos="10400"/>
      </w:tabs>
      <w:spacing w:after="200"/>
      <w:ind w:left="960"/>
      <w:contextualSpacing w:val="0"/>
    </w:pPr>
    <w:rPr>
      <w:b w:val="0"/>
      <w:i w:val="0"/>
      <w:sz w:val="1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3" ma:contentTypeDescription="Vytvoří nový dokument" ma:contentTypeScope="" ma:versionID="235096fae711eb81e7db28964b470499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368f2fe65bee2405c29832436714e344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66499-350F-49AD-8041-67F9E835CA8A}"/>
</file>

<file path=customXml/itemProps2.xml><?xml version="1.0" encoding="utf-8"?>
<ds:datastoreItem xmlns:ds="http://schemas.openxmlformats.org/officeDocument/2006/customXml" ds:itemID="{473F9D2B-56A5-4130-8A59-D9E789A0FFE4}"/>
</file>

<file path=customXml/itemProps3.xml><?xml version="1.0" encoding="utf-8"?>
<ds:datastoreItem xmlns:ds="http://schemas.openxmlformats.org/officeDocument/2006/customXml" ds:itemID="{4779556A-418F-4E18-A8C2-9652BCC0F5F8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