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3.0.0 -->
  <w:background w:color="ffffff">
    <v:background id="_x0000_s1025" filled="t" fillcolor="white"/>
  </w:background>
  <w:body>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3253"/>
          <w:tblCellMar>
            <w:top w:w="0" w:type="dxa"/>
            <w:left w:w="0" w:type="dxa"/>
            <w:bottom w:w="0" w:type="dxa"/>
            <w:right w:w="0" w:type="dxa"/>
          </w:tblCellMar>
          <w:tblLook w:val="05E0"/>
        </w:tblPrEx>
        <w:trPr>
          <w:tblCellSpacing w:w="0" w:type="dxa"/>
          <w:jc w:val="center"/>
        </w:trPr>
        <w:tc>
          <w:tcPr>
            <w:shd w:val="clear" w:color="auto" w:fill="003253"/>
            <w:tcMar>
              <w:top w:w="0" w:type="dxa"/>
              <w:left w:w="0" w:type="dxa"/>
              <w:bottom w:w="0" w:type="dxa"/>
              <w:right w:w="0" w:type="dxa"/>
            </w:tcMar>
            <w:vAlign w:val="center"/>
          </w:tcPr>
          <w:tbl>
            <w:tblPr>
              <w:tblStyle w:val="table"/>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
            <w:tblGrid>
              <w:gridCol w:w="9376"/>
            </w:tblGrid>
            <w:tr>
              <w:tblPrEx>
                <w:tblW w:w="5000" w:type="pct"/>
                <w:jc w:val="center"/>
                <w:tblCellSpacing w:w="15" w:type="dxa"/>
                <w:tblBorders>
                  <w:top w:val="none" w:sz="0" w:space="0" w:color="auto"/>
                  <w:left w:val="none" w:sz="0" w:space="0" w:color="auto"/>
                  <w:bottom w:val="none" w:sz="0" w:space="0" w:color="auto"/>
                  <w:right w:val="none" w:sz="0" w:space="0" w:color="auto"/>
                </w:tblBorders>
                <w:shd w:val="clear" w:color="auto" w:fill="003253"/>
                <w:tblCellMar>
                  <w:top w:w="150" w:type="dxa"/>
                  <w:left w:w="150" w:type="dxa"/>
                  <w:bottom w:w="150" w:type="dxa"/>
                  <w:right w:w="150" w:type="dxa"/>
                </w:tblCellMar>
                <w:tblLook w:val="05E0"/>
              </w:tblPrEx>
              <w:trPr>
                <w:tblCellSpacing w:w="15" w:type="dxa"/>
                <w:jc w:val="center"/>
              </w:trPr>
              <w:tc>
                <w:tcPr>
                  <w:tcW w:w="12300" w:type="dxa"/>
                  <w:shd w:val="clear" w:color="auto" w:fill="003253"/>
                  <w:tcMar>
                    <w:top w:w="150" w:type="dxa"/>
                    <w:left w:w="150" w:type="dxa"/>
                    <w:bottom w:w="150" w:type="dxa"/>
                    <w:right w:w="15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noProof/>
                      <w:sz w:val="26"/>
                      <w:szCs w:val="26"/>
                    </w:rPr>
                    <w:instrText xml:space="preserve"> HYPERLINK "https://newtonone.newtonmedia.eu/cs-CZ" \t "_blank" </w:instrText>
                  </w:r>
                  <w:r>
                    <w:rPr>
                      <w:sz w:val="26"/>
                      <w:szCs w:val="26"/>
                    </w:rPr>
                    <w:fldChar w:fldCharType="separate"/>
                  </w:r>
                  <w:r>
                    <w:rPr>
                      <w:strike w:val="0"/>
                      <w:color w:val="0000EE"/>
                      <w:sz w:val="26"/>
                      <w:szCs w:val="26"/>
                      <w:u w:val="none" w:color="0000EE"/>
                    </w:rPr>
                    <w:drawing>
                      <wp:inline>
                        <wp:extent cx="1428750" cy="571500"/>
                        <wp:docPr id="100002" name=""/>
                        <wp:cNvGraphicFramePr/>
                        <a:graphic xmlns:a="http://schemas.openxmlformats.org/drawingml/2006/main">
                          <a:graphicData uri="http://schemas.openxmlformats.org/drawingml/2006/picture">
                            <pic:pic xmlns:pic="http://schemas.openxmlformats.org/drawingml/2006/picture">
                              <pic:nvPicPr>
                                <pic:cNvPr id="1506340618" name=""/>
                                <pic:cNvPicPr/>
                              </pic:nvPicPr>
                              <pic:blipFill>
                                <a:blip xmlns:r="http://schemas.openxmlformats.org/officeDocument/2006/relationships" r:embed="rId4"/>
                                <a:stretch>
                                  <a:fillRect/>
                                </a:stretch>
                              </pic:blipFill>
                              <pic:spPr>
                                <a:xfrm>
                                  <a:off x="0" y="0"/>
                                  <a:ext cx="1428750" cy="571500"/>
                                </a:xfrm>
                                <a:prstGeom prst="rect">
                                  <a:avLst/>
                                </a:prstGeom>
                              </pic:spPr>
                            </pic:pic>
                          </a:graphicData>
                        </a:graphic>
                      </wp:inline>
                    </w:drawing>
                  </w:r>
                  <w:r>
                    <w:rPr>
                      <w:rStyle w:val="any"/>
                      <w:noProof/>
                      <w:color w:val="0000EE"/>
                      <w:sz w:val="26"/>
                      <w:szCs w:val="26"/>
                      <w:u w:val="single" w:color="0000EE"/>
                    </w:rPr>
                    <w:t xml:space="preserve"> </w:t>
                  </w:r>
                  <w:r>
                    <w:rPr>
                      <w:rStyle w:val="any"/>
                      <w:color w:val="0000EE"/>
                      <w:sz w:val="26"/>
                      <w:szCs w:val="26"/>
                      <w:u w:val="single" w:color="0000EE"/>
                    </w:rPr>
                    <w:fldChar w:fldCharType="end"/>
                  </w: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
      <w:tblGrid>
        <w:gridCol w:w="9406"/>
      </w:tblGrid>
      <w:tr>
        <w:tblPrEx>
          <w:tblW w:w="5000" w:type="pct"/>
          <w:jc w:val="center"/>
          <w:tblCellSpacing w:w="0" w:type="dxa"/>
          <w:tblBorders>
            <w:top w:val="none" w:sz="0" w:space="0" w:color="auto"/>
            <w:left w:val="none" w:sz="0" w:space="0" w:color="auto"/>
            <w:bottom w:val="none" w:sz="0" w:space="0" w:color="auto"/>
            <w:right w:val="none" w:sz="0" w:space="0" w:color="auto"/>
          </w:tblBorders>
          <w:shd w:val="clear" w:color="auto" w:fill="00A4DF"/>
          <w:tblCellMar>
            <w:top w:w="0" w:type="dxa"/>
            <w:left w:w="0" w:type="dxa"/>
            <w:bottom w:w="0" w:type="dxa"/>
            <w:right w:w="0" w:type="dxa"/>
          </w:tblCellMar>
          <w:tblLook w:val="05E0"/>
        </w:tblPrEx>
        <w:trPr>
          <w:tblCellSpacing w:w="0" w:type="dxa"/>
          <w:jc w:val="center"/>
        </w:trPr>
        <w:tc>
          <w:tcPr>
            <w:shd w:val="clear" w:color="auto" w:fill="00A4DF"/>
            <w:tcMar>
              <w:top w:w="0" w:type="dxa"/>
              <w:left w:w="0" w:type="dxa"/>
              <w:bottom w:w="0" w:type="dxa"/>
              <w:right w:w="0" w:type="dxa"/>
            </w:tcMar>
            <w:vAlign w:val="center"/>
          </w:tcPr>
          <w:tbl>
            <w:tblPr>
              <w:tblStyle w:val="table"/>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9181"/>
            </w:tblGrid>
            <w:tr>
              <w:tblPrEx>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
                  <w:tblGrid>
                    <w:gridCol w:w="4329"/>
                    <w:gridCol w:w="4807"/>
                  </w:tblGrid>
                  <w:tr>
                    <w:tblPrEx>
                      <w:jc w:val="center"/>
                      <w:tblCellSpacing w:w="15" w:type="dxa"/>
                      <w:tblBorders>
                        <w:top w:val="none" w:sz="0" w:space="0" w:color="auto"/>
                        <w:left w:val="none" w:sz="0" w:space="0" w:color="auto"/>
                        <w:bottom w:val="none" w:sz="0" w:space="0" w:color="auto"/>
                        <w:right w:val="none" w:sz="0" w:space="0" w:color="auto"/>
                      </w:tblBorders>
                      <w:tblCellMar>
                        <w:top w:w="150" w:type="dxa"/>
                        <w:left w:w="150" w:type="dxa"/>
                        <w:bottom w:w="150" w:type="dxa"/>
                        <w:right w:w="150" w:type="dxa"/>
                      </w:tblCellMar>
                      <w:tblLook w:val="05E0"/>
                    </w:tblPrEx>
                    <w:trPr>
                      <w:tblCellSpacing w:w="15" w:type="dxa"/>
                      <w:jc w:val="center"/>
                    </w:trPr>
                    <w:tc>
                      <w:tcPr>
                        <w:tcW w:w="607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left"/>
                          <w:rPr>
                            <w:sz w:val="26"/>
                            <w:szCs w:val="26"/>
                          </w:rPr>
                        </w:pPr>
                        <w:bookmarkStart w:id="0" w:name="TableOfContent"/>
                        <w:bookmarkEnd w:id="0"/>
                      </w:p>
                    </w:tc>
                    <w:tc>
                      <w:tcPr>
                        <w:tcW w:w="6225"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jc w:val="right"/>
                          <w:rPr>
                            <w:sz w:val="26"/>
                            <w:szCs w:val="26"/>
                          </w:rPr>
                        </w:pPr>
                        <w:r>
                          <w:rPr>
                            <w:rStyle w:val="any"/>
                            <w:noProof/>
                            <w:color w:val="FFFFFF"/>
                            <w:sz w:val="26"/>
                            <w:szCs w:val="26"/>
                          </w:rPr>
                          <w:t>Počet zpráv: 2</w:t>
                        </w:r>
                        <w:r>
                          <w:rPr>
                            <w:rStyle w:val="any"/>
                            <w:noProof/>
                            <w:color w:val="FFFFFF"/>
                            <w:sz w:val="26"/>
                            <w:szCs w:val="26"/>
                          </w:rPr>
                          <w:t>, 18.02.2022</w:t>
                        </w:r>
                      </w:p>
                    </w:tc>
                  </w:tr>
                </w:tbl>
                <w:p>
                  <w:pPr>
                    <w:rPr>
                      <w:sz w:val="26"/>
                      <w:szCs w:val="26"/>
                    </w:rPr>
                  </w:pPr>
                </w:p>
              </w:tc>
            </w:tr>
          </w:tbl>
          <w:p>
            <w:pPr>
              <w:rPr>
                <w:sz w:val="26"/>
                <w:szCs w:val="26"/>
              </w:rPr>
            </w:pPr>
          </w:p>
        </w:tc>
      </w:tr>
    </w:tbl>
    <w:p>
      <w:pPr>
        <w:rPr>
          <w:vanish/>
        </w:rPr>
      </w:pPr>
    </w:p>
    <w:tbl>
      <w:tblPr>
        <w:tblStyle w:val="table"/>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5000" w:type="pct"/>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tblW w:w="10500" w:type="dxa"/>
                <w:jc w:val="center"/>
                <w:tblCellSpacing w:w="0" w:type="dxa"/>
                <w:tblInd w:w="22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W w:w="10500" w:type="dxa"/>
                  <w:tcMar>
                    <w:top w:w="0"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begin"/>
                  </w:r>
                  <w:r>
                    <w:rPr>
                      <w:sz w:val="26"/>
                      <w:szCs w:val="26"/>
                    </w:rPr>
                    <w:instrText xml:space="preserve">TOC \o "1-5" \x \h \z </w:instrText>
                  </w:r>
                  <w:r>
                    <w:rPr>
                      <w:sz w:val="26"/>
                      <w:szCs w:val="26"/>
                    </w:rPr>
                    <w:fldChar w:fldCharType="separate"/>
                  </w:r>
                </w:p>
                <w:p>
                  <w:pPr>
                    <w:pStyle w:val="TOC1"/>
                    <w:rPr>
                      <w:rFonts w:ascii="Calibri" w:hAnsi="Calibri"/>
                      <w:noProof/>
                      <w:sz w:val="22"/>
                    </w:rPr>
                  </w:pPr>
                  <w:r>
                    <w:fldChar w:fldCharType="begin"/>
                  </w:r>
                  <w:r>
                    <w:instrText xml:space="preserve"> HYPERLINK \l "_Toc256000000" </w:instrText>
                  </w:r>
                  <w:r>
                    <w:fldChar w:fldCharType="separate"/>
                  </w:r>
                  <w:r>
                    <w:rPr>
                      <w:rStyle w:val="Hyperlink"/>
                      <w:rFonts w:ascii="Arial" w:eastAsia="Arial" w:hAnsi="Arial" w:cs="Arial"/>
                      <w:noProof/>
                    </w:rPr>
                    <w:t>1. 12.02.2022</w:t>
                  </w:r>
                  <w:r>
                    <w:tab/>
                  </w:r>
                  <w:r>
                    <w:fldChar w:fldCharType="begin"/>
                  </w:r>
                  <w:r>
                    <w:instrText xml:space="preserve"> PAGEREF _Toc256000000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Fonts w:ascii="Arial" w:eastAsia="Arial" w:hAnsi="Arial" w:cs="Arial"/>
                      <w:noProof/>
                    </w:rPr>
                    <w:t>Slunečný víkend zve na lyžovačku</w:t>
                  </w:r>
                  <w:r>
                    <w:tab/>
                  </w:r>
                  <w:r>
                    <w:fldChar w:fldCharType="begin"/>
                  </w:r>
                  <w:r>
                    <w:instrText xml:space="preserve"> PAGEREF _Toc256000001 \h </w:instrText>
                  </w:r>
                  <w:r>
                    <w:fldChar w:fldCharType="separate"/>
                  </w:r>
                  <w:r>
                    <w:t>1</w:t>
                  </w:r>
                  <w:r>
                    <w:fldChar w:fldCharType="end"/>
                  </w:r>
                  <w:r>
                    <w:fldChar w:fldCharType="end"/>
                  </w:r>
                </w:p>
                <w:p>
                  <w:pPr>
                    <w:pStyle w:val="TOC1"/>
                    <w:rPr>
                      <w:rFonts w:ascii="Calibri" w:hAnsi="Calibri"/>
                      <w:noProof/>
                      <w:sz w:val="22"/>
                    </w:rPr>
                  </w:pPr>
                  <w:r>
                    <w:fldChar w:fldCharType="begin"/>
                  </w:r>
                  <w:r>
                    <w:instrText xml:space="preserve"> HYPERLINK \l "_Toc256000002" </w:instrText>
                  </w:r>
                  <w:r>
                    <w:fldChar w:fldCharType="separate"/>
                  </w:r>
                  <w:r>
                    <w:rPr>
                      <w:rStyle w:val="Hyperlink"/>
                      <w:rFonts w:ascii="Arial" w:eastAsia="Arial" w:hAnsi="Arial" w:cs="Arial"/>
                      <w:noProof/>
                    </w:rPr>
                    <w:t>2. 18.02.2022</w:t>
                  </w:r>
                  <w:r>
                    <w:tab/>
                  </w:r>
                  <w:r>
                    <w:fldChar w:fldCharType="begin"/>
                  </w:r>
                  <w:r>
                    <w:instrText xml:space="preserve"> PAGEREF _Toc256000002 \h </w:instrText>
                  </w:r>
                  <w:r>
                    <w:fldChar w:fldCharType="separate"/>
                  </w:r>
                  <w:r>
                    <w:t>2</w:t>
                  </w:r>
                  <w:r>
                    <w:fldChar w:fldCharType="end"/>
                  </w:r>
                  <w:r>
                    <w:fldChar w:fldCharType="end"/>
                  </w:r>
                </w:p>
                <w:p>
                  <w:pPr>
                    <w:pStyle w:val="TOC1"/>
                    <w:rPr>
                      <w:rFonts w:ascii="Calibri" w:hAnsi="Calibri"/>
                      <w:noProof/>
                      <w:sz w:val="22"/>
                    </w:rPr>
                  </w:pPr>
                  <w:r>
                    <w:fldChar w:fldCharType="begin"/>
                  </w:r>
                  <w:r>
                    <w:instrText xml:space="preserve"> HYPERLINK \l "_Toc256000003" </w:instrText>
                  </w:r>
                  <w:r>
                    <w:fldChar w:fldCharType="separate"/>
                  </w:r>
                  <w:r>
                    <w:rPr>
                      <w:rStyle w:val="Hyperlink"/>
                      <w:rFonts w:ascii="Arial" w:eastAsia="Arial" w:hAnsi="Arial" w:cs="Arial"/>
                      <w:noProof/>
                    </w:rPr>
                    <w:t>Na jarní prázdniny mají horská střediska ještě dostatek kapacit</w:t>
                  </w:r>
                  <w:r>
                    <w:tab/>
                  </w:r>
                  <w:r>
                    <w:fldChar w:fldCharType="begin"/>
                  </w:r>
                  <w:r>
                    <w:instrText xml:space="preserve"> PAGEREF _Toc256000003 \h </w:instrText>
                  </w:r>
                  <w:r>
                    <w:fldChar w:fldCharType="separate"/>
                  </w:r>
                  <w:r>
                    <w:t>2</w:t>
                  </w:r>
                  <w:r>
                    <w:fldChar w:fldCharType="end"/>
                  </w:r>
                  <w:r>
                    <w:fldChar w:fldCharType="end"/>
                  </w:r>
                </w:p>
                <w:p>
                  <w:pPr>
                    <w:pBdr>
                      <w:top w:val="none" w:sz="0" w:space="0" w:color="auto"/>
                      <w:left w:val="none" w:sz="0" w:space="0" w:color="auto"/>
                      <w:bottom w:val="none" w:sz="0" w:space="0" w:color="auto"/>
                      <w:right w:val="none" w:sz="0" w:space="0" w:color="auto"/>
                    </w:pBdr>
                    <w:spacing w:line="330" w:lineRule="atLeast"/>
                    <w:rPr>
                      <w:sz w:val="26"/>
                      <w:szCs w:val="26"/>
                    </w:rPr>
                  </w:pPr>
                  <w:r>
                    <w:rPr>
                      <w:sz w:val="26"/>
                      <w:szCs w:val="26"/>
                    </w:rPr>
                    <w:fldChar w:fldCharType="end"/>
                  </w:r>
                </w:p>
              </w:tc>
            </w:tr>
            <w:tr>
              <w:tblPrEx>
                <w:tblW w:w="10500" w:type="dxa"/>
                <w:jc w:val="center"/>
                <w:tblCellSpacing w:w="0" w:type="dxa"/>
                <w:tblInd w:w="225"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1" w:name="topic_12.02.2022"/>
                  <w:r>
                    <w:rPr>
                      <w:rStyle w:val="topic-name-0"/>
                      <w:noProof/>
                      <w:sz w:val="27"/>
                      <w:szCs w:val="27"/>
                      <w:shd w:val="clear" w:color="auto" w:fill="auto"/>
                    </w:rPr>
                    <w:t>12.02.2022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1"/>
                  <w:r>
                    <w:rPr>
                      <w:sz w:val="26"/>
                      <w:szCs w:val="26"/>
                    </w:rPr>
                    <w:fldChar w:fldCharType="begin"/>
                  </w:r>
                  <w:r>
                    <w:rPr>
                      <w:noProof/>
                      <w:sz w:val="26"/>
                      <w:szCs w:val="26"/>
                    </w:rPr>
                    <w:instrText xml:space="preserve"> HYPERLINK \l "Art__0__0" </w:instrText>
                  </w:r>
                  <w:r>
                    <w:rPr>
                      <w:sz w:val="26"/>
                      <w:szCs w:val="26"/>
                    </w:rPr>
                    <w:fldChar w:fldCharType="separate"/>
                  </w:r>
                  <w:r>
                    <w:rPr>
                      <w:rStyle w:val="any"/>
                      <w:noProof/>
                      <w:color w:val="21262A"/>
                      <w:sz w:val="27"/>
                      <w:szCs w:val="27"/>
                      <w:u w:val="single" w:color="21262A"/>
                    </w:rPr>
                    <w:t>Slunečný víkend zve na lyžovačku</w:t>
                  </w:r>
                  <w:bookmarkStart w:id="2" w:name="TOC__0__0"/>
                  <w:r>
                    <w:rPr>
                      <w:rStyle w:val="any"/>
                      <w:color w:val="21262A"/>
                      <w:sz w:val="27"/>
                      <w:szCs w:val="27"/>
                      <w:u w:val="single" w:color="21262A"/>
                    </w:rPr>
                    <w:fldChar w:fldCharType="end"/>
                  </w:r>
                  <w:bookmarkEnd w:id="2"/>
                  <w:r>
                    <w:rPr>
                      <w:noProof/>
                      <w:sz w:val="26"/>
                      <w:szCs w:val="26"/>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12.02.2022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13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100 360 </w:t>
                  </w:r>
                  <w:r>
                    <w:rPr>
                      <w:rStyle w:val="metadata-item"/>
                      <w:noProof/>
                    </w:rPr>
                    <w:t>| Prodáno: </w:t>
                  </w:r>
                  <w:r>
                    <w:rPr>
                      <w:rStyle w:val="metadata-value"/>
                      <w:noProof/>
                    </w:rPr>
                    <w:t xml:space="preserve">86 559 </w:t>
                  </w:r>
                  <w:r>
                    <w:rPr>
                      <w:rStyle w:val="metadata-item"/>
                      <w:noProof/>
                    </w:rPr>
                    <w:t xml:space="preserve">| Čtenost: </w:t>
                  </w:r>
                  <w:r>
                    <w:rPr>
                      <w:rStyle w:val="metadata-value"/>
                      <w:noProof/>
                    </w:rPr>
                    <w:t xml:space="preserve">454 857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uvítali zrušení povinnosti prokazovat se při koupi skipasu dokladem o očkování či o prodělání covidu. Vlekaři věří, že to zvedne návštěvnost.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byla někde až o 30 procent nižší. „Odrazovalo to i polskou a německou klientelu,“ uvedl ředitel asociace </w:t>
                  </w:r>
                  <w:r>
                    <w:rPr>
                      <w:rStyle w:val="any"/>
                      <w:noProof/>
                      <w:sz w:val="21"/>
                      <w:szCs w:val="21"/>
                      <w:shd w:val="clear" w:color="auto" w:fill="F9C812"/>
                    </w:rPr>
                    <w:t>Libor</w:t>
                  </w:r>
                  <w:r>
                    <w:rPr>
                      <w:noProof/>
                      <w:sz w:val="21"/>
                      <w:szCs w:val="21"/>
                    </w:rPr>
                    <w:t>...</w:t>
                  </w:r>
                </w:p>
                <w:p>
                  <w:pPr>
                    <w:pStyle w:val="topic-name"/>
                    <w:pBdr>
                      <w:top w:val="single" w:sz="12" w:space="7" w:color="F2F2F2"/>
                      <w:left w:val="none" w:sz="0" w:space="0" w:color="auto"/>
                      <w:bottom w:val="single" w:sz="12" w:space="7" w:color="F2F2F2"/>
                      <w:right w:val="none" w:sz="0" w:space="0" w:color="auto"/>
                    </w:pBdr>
                    <w:spacing w:before="150" w:after="150" w:line="330" w:lineRule="atLeast"/>
                    <w:ind w:left="0"/>
                    <w:rPr>
                      <w:b/>
                      <w:bCs/>
                      <w:color w:val="666666"/>
                      <w:sz w:val="26"/>
                      <w:szCs w:val="26"/>
                    </w:rPr>
                  </w:pPr>
                  <w:bookmarkStart w:id="3" w:name="topic_18.02.2022"/>
                  <w:r>
                    <w:rPr>
                      <w:rStyle w:val="topic-name-0"/>
                      <w:noProof/>
                      <w:sz w:val="27"/>
                      <w:szCs w:val="27"/>
                      <w:shd w:val="clear" w:color="auto" w:fill="auto"/>
                    </w:rPr>
                    <w:t>18.02.2022</w:t>
                  </w:r>
                  <w:r>
                    <w:rPr>
                      <w:rStyle w:val="any"/>
                      <w:noProof/>
                      <w:sz w:val="26"/>
                      <w:szCs w:val="26"/>
                      <w:shd w:val="clear" w:color="auto" w:fill="auto"/>
                    </w:rPr>
                    <w:t xml:space="preserve"> </w:t>
                  </w:r>
                </w:p>
                <w:p>
                  <w:pPr>
                    <w:pStyle w:val="anyParagraph"/>
                    <w:pBdr>
                      <w:top w:val="none" w:sz="0" w:space="0" w:color="auto"/>
                      <w:left w:val="none" w:sz="0" w:space="0" w:color="auto"/>
                      <w:bottom w:val="none" w:sz="0" w:space="0" w:color="auto"/>
                      <w:right w:val="none" w:sz="0" w:space="0" w:color="auto"/>
                    </w:pBdr>
                    <w:spacing w:before="270" w:after="0" w:line="330" w:lineRule="atLeast"/>
                    <w:ind w:left="0" w:right="0"/>
                    <w:rPr>
                      <w:sz w:val="26"/>
                      <w:szCs w:val="26"/>
                    </w:rPr>
                  </w:pPr>
                  <w:bookmarkEnd w:id="3"/>
                  <w:r>
                    <w:rPr>
                      <w:sz w:val="26"/>
                      <w:szCs w:val="26"/>
                    </w:rPr>
                    <w:fldChar w:fldCharType="begin"/>
                  </w:r>
                  <w:r>
                    <w:rPr>
                      <w:noProof/>
                      <w:sz w:val="26"/>
                      <w:szCs w:val="26"/>
                    </w:rPr>
                    <w:instrText xml:space="preserve"> HYPERLINK \l "Art__0__1" </w:instrText>
                  </w:r>
                  <w:r>
                    <w:rPr>
                      <w:sz w:val="26"/>
                      <w:szCs w:val="26"/>
                    </w:rPr>
                    <w:fldChar w:fldCharType="separate"/>
                  </w:r>
                  <w:r>
                    <w:rPr>
                      <w:rStyle w:val="any"/>
                      <w:noProof/>
                      <w:color w:val="21262A"/>
                      <w:sz w:val="27"/>
                      <w:szCs w:val="27"/>
                      <w:u w:val="single" w:color="21262A"/>
                    </w:rPr>
                    <w:t>Na jarní prázdniny mají horská střediska ještě dostatek kapacit</w:t>
                  </w:r>
                  <w:bookmarkStart w:id="4" w:name="TOC__0__1"/>
                  <w:r>
                    <w:rPr>
                      <w:rStyle w:val="any"/>
                      <w:color w:val="21262A"/>
                      <w:sz w:val="27"/>
                      <w:szCs w:val="27"/>
                      <w:u w:val="single" w:color="21262A"/>
                    </w:rPr>
                    <w:fldChar w:fldCharType="end"/>
                  </w:r>
                  <w:bookmarkEnd w:id="4"/>
                  <w:r>
                    <w:rPr>
                      <w:noProof/>
                      <w:sz w:val="26"/>
                      <w:szCs w:val="26"/>
                    </w:rPr>
                    <w:t xml:space="preserve"> </w:t>
                  </w:r>
                  <w:r>
                    <w:rPr>
                      <w:sz w:val="26"/>
                      <w:szCs w:val="26"/>
                    </w:rPr>
                    <w:fldChar w:fldCharType="begin"/>
                  </w:r>
                  <w:r>
                    <w:rPr>
                      <w:noProof/>
                      <w:sz w:val="26"/>
                      <w:szCs w:val="26"/>
                    </w:rPr>
                    <w:instrText xml:space="preserve"> HYPERLINK "https://www.e-vsudybyl.cz/bleskovky/na-jarni-prazdniny-maji-horska-strediska-jeste-dostatek-kapacit/"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18.02.2022 </w:t>
                  </w:r>
                  <w:r>
                    <w:rPr>
                      <w:rStyle w:val="metadata-item"/>
                      <w:noProof/>
                    </w:rPr>
                    <w:t>| Autor: </w:t>
                  </w:r>
                  <w:r>
                    <w:rPr>
                      <w:rStyle w:val="metadata-value"/>
                      <w:noProof/>
                    </w:rPr>
                    <w:t xml:space="preserve">Připravila Iva Řeřichová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 prakticky ve všech horských střediscích. Díky tomu si milovníci zimních sportů můžou užívat upravených sjezdovek i běžeckých tras,“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Kateřina Neumannová. Veškeré aktuální informace o lyžařských areálech se objevují na webu holidayinfo.cz,...</w:t>
                  </w:r>
                </w:p>
                <w:p>
                  <w:pPr>
                    <w:pStyle w:val="anyParagraph"/>
                    <w:pBdr>
                      <w:top w:val="none" w:sz="0" w:space="0" w:color="auto"/>
                      <w:left w:val="none" w:sz="0" w:space="0" w:color="auto"/>
                      <w:bottom w:val="single" w:sz="18" w:space="0" w:color="FFFFFF"/>
                      <w:right w:val="none" w:sz="0" w:space="0" w:color="auto"/>
                    </w:pBdr>
                    <w:shd w:val="clear" w:color="auto" w:fill="00A4DF"/>
                    <w:spacing w:before="270" w:after="75" w:line="45" w:lineRule="atLeast"/>
                    <w:jc w:val="center"/>
                    <w:rPr>
                      <w:sz w:val="13"/>
                      <w:szCs w:val="13"/>
                    </w:rPr>
                  </w:pPr>
                  <w:r>
                    <w:rPr>
                      <w:noProof/>
                      <w:sz w:val="13"/>
                      <w:szCs w:val="13"/>
                    </w:rPr>
                    <w:t> </w:t>
                  </w:r>
                </w:p>
                <w:tbl>
                  <w:tblPr>
                    <w:tblStyle w:val="table"/>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
                  <w:tblGrid>
                    <w:gridCol w:w="1919"/>
                    <w:gridCol w:w="30"/>
                  </w:tblGrid>
                  <w:tr>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Look w:val="05E0"/>
                    </w:tblPrEx>
                    <w:trPr>
                      <w:tblCellSpacing w:w="15" w:type="dxa"/>
                    </w:trPr>
                    <w:tc>
                      <w:tcPr>
                        <w:tcMar>
                          <w:top w:w="15" w:type="dxa"/>
                          <w:left w:w="15" w:type="dxa"/>
                          <w:bottom w:w="15" w:type="dxa"/>
                          <w:right w:w="15" w:type="dxa"/>
                        </w:tcMar>
                        <w:vAlign w:val="center"/>
                      </w:tcPr>
                      <w:p>
                        <w:pPr>
                          <w:pStyle w:val="anyParagraph"/>
                          <w:pBdr>
                            <w:top w:val="none" w:sz="0" w:space="0" w:color="auto"/>
                            <w:left w:val="none" w:sz="0" w:space="0" w:color="auto"/>
                            <w:bottom w:val="none" w:sz="0" w:space="0" w:color="auto"/>
                            <w:right w:val="none" w:sz="0" w:space="0" w:color="auto"/>
                          </w:pBdr>
                          <w:spacing w:before="317" w:after="317" w:line="330" w:lineRule="atLeast"/>
                          <w:jc w:val="center"/>
                          <w:rPr>
                            <w:b/>
                            <w:bCs/>
                            <w:sz w:val="38"/>
                            <w:szCs w:val="38"/>
                          </w:rPr>
                        </w:pPr>
                        <w:r>
                          <w:rPr>
                            <w:b/>
                            <w:bCs/>
                            <w:noProof/>
                            <w:sz w:val="38"/>
                            <w:szCs w:val="38"/>
                          </w:rPr>
                          <w:t>Plná znění</w:t>
                        </w:r>
                      </w:p>
                    </w:tc>
                    <w:tc>
                      <w:tcPr>
                        <w:tcMar>
                          <w:top w:w="15" w:type="dxa"/>
                          <w:left w:w="15" w:type="dxa"/>
                          <w:bottom w:w="15" w:type="dxa"/>
                          <w:right w:w="15" w:type="dxa"/>
                        </w:tcMar>
                        <w:vAlign w:val="center"/>
                      </w:tcPr>
                      <w:p>
                        <w:pPr>
                          <w:pBdr>
                            <w:top w:val="none" w:sz="0" w:space="0" w:color="auto"/>
                            <w:left w:val="none" w:sz="0" w:space="0" w:color="auto"/>
                            <w:bottom w:val="none" w:sz="0" w:space="0" w:color="auto"/>
                            <w:right w:val="none" w:sz="0" w:space="0" w:color="auto"/>
                          </w:pBdr>
                          <w:spacing w:line="330" w:lineRule="atLeast"/>
                          <w:jc w:val="cente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5" w:name="_Toc256000000"/>
                  <w:r>
                    <w:rPr>
                      <w:rFonts w:ascii="Arial" w:eastAsia="Arial" w:hAnsi="Arial" w:cs="Arial"/>
                      <w:noProof/>
                      <w:color w:val="FFFFFF"/>
                      <w:sz w:val="0"/>
                      <w:szCs w:val="0"/>
                    </w:rPr>
                    <w:t>1. 12.02.2022</w:t>
                  </w:r>
                  <w:bookmarkEnd w:id="5"/>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6" w:name="_Toc256000001"/>
                              <w:r>
                                <w:rPr>
                                  <w:rFonts w:ascii="Arial" w:eastAsia="Arial" w:hAnsi="Arial" w:cs="Arial"/>
                                  <w:noProof/>
                                  <w:color w:val="FFFFFF"/>
                                  <w:sz w:val="0"/>
                                  <w:szCs w:val="0"/>
                                </w:rPr>
                                <w:t>Slunečný víkend zve na lyžovačku</w:t>
                              </w:r>
                              <w:bookmarkEnd w:id="6"/>
                              <w:r>
                                <w:rPr>
                                  <w:color w:val="FFFFFF"/>
                                  <w:sz w:val="0"/>
                                  <w:szCs w:val="0"/>
                                </w:rPr>
                                <w:fldChar w:fldCharType="begin"/>
                              </w:r>
                              <w:r>
                                <w:rPr>
                                  <w:noProof/>
                                  <w:color w:val="FFFFFF"/>
                                  <w:sz w:val="0"/>
                                  <w:szCs w:val="0"/>
                                </w:rPr>
                                <w:instrText xml:space="preserve"> HYPERLINK \l "TOC__0__0"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Slunečný víkend zve na lyžovačku</w:t>
                              </w:r>
                              <w:bookmarkStart w:id="7" w:name="Art__0__0"/>
                              <w:r>
                                <w:rPr>
                                  <w:rStyle w:val="any"/>
                                  <w:color w:val="21262A"/>
                                  <w:sz w:val="27"/>
                                  <w:szCs w:val="27"/>
                                  <w:u w:val="single" w:color="21262A"/>
                                </w:rPr>
                                <w:fldChar w:fldCharType="end"/>
                              </w:r>
                              <w:bookmarkEnd w:id="7"/>
                              <w:r>
                                <w:rPr>
                                  <w:noProof/>
                                  <w:sz w:val="26"/>
                                  <w:szCs w:val="26"/>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Mladá fronta DNES </w:t>
                              </w:r>
                              <w:r>
                                <w:rPr>
                                  <w:rStyle w:val="metadata-item"/>
                                  <w:noProof/>
                                </w:rPr>
                                <w:t xml:space="preserve">| </w:t>
                              </w:r>
                              <w:r>
                                <w:rPr>
                                  <w:rStyle w:val="metadata-value"/>
                                  <w:noProof/>
                                </w:rPr>
                                <w:t xml:space="preserve">12.02.2022 </w:t>
                              </w:r>
                              <w:r>
                                <w:rPr>
                                  <w:rStyle w:val="metadata-item"/>
                                  <w:noProof/>
                                </w:rPr>
                                <w:t xml:space="preserve">| Rubrika: </w:t>
                              </w:r>
                              <w:r>
                                <w:rPr>
                                  <w:rStyle w:val="metadata-value"/>
                                  <w:noProof/>
                                </w:rPr>
                                <w:t xml:space="preserve">Kraj Hradecký </w:t>
                              </w:r>
                              <w:r>
                                <w:rPr>
                                  <w:rStyle w:val="metadata-item"/>
                                  <w:noProof/>
                                </w:rPr>
                                <w:t>| Strana: </w:t>
                              </w:r>
                              <w:r>
                                <w:rPr>
                                  <w:rStyle w:val="metadata-value"/>
                                  <w:noProof/>
                                </w:rPr>
                                <w:t xml:space="preserve">13 </w:t>
                              </w:r>
                              <w:r>
                                <w:rPr>
                                  <w:rStyle w:val="metadata-item"/>
                                  <w:noProof/>
                                </w:rPr>
                                <w:t>| Autor: </w:t>
                              </w:r>
                              <w:r>
                                <w:rPr>
                                  <w:rStyle w:val="metadata-value"/>
                                  <w:noProof/>
                                </w:rPr>
                                <w:t xml:space="preserve">(ČTK) </w:t>
                              </w:r>
                              <w:r>
                                <w:rPr>
                                  <w:rStyle w:val="metadata-item"/>
                                  <w:noProof/>
                                </w:rPr>
                                <w:t>| Vytištěno: </w:t>
                              </w:r>
                              <w:r>
                                <w:rPr>
                                  <w:rStyle w:val="metadata-value"/>
                                  <w:noProof/>
                                </w:rPr>
                                <w:t xml:space="preserve">100 360 </w:t>
                              </w:r>
                              <w:r>
                                <w:rPr>
                                  <w:rStyle w:val="metadata-item"/>
                                  <w:noProof/>
                                </w:rPr>
                                <w:t>| Prodáno: </w:t>
                              </w:r>
                              <w:r>
                                <w:rPr>
                                  <w:rStyle w:val="metadata-value"/>
                                  <w:noProof/>
                                </w:rPr>
                                <w:t xml:space="preserve">86 559 </w:t>
                              </w:r>
                              <w:r>
                                <w:rPr>
                                  <w:rStyle w:val="metadata-item"/>
                                  <w:noProof/>
                                </w:rPr>
                                <w:t xml:space="preserve">| Čtenost: </w:t>
                              </w:r>
                              <w:r>
                                <w:rPr>
                                  <w:rStyle w:val="metadata-value"/>
                                  <w:noProof/>
                                </w:rPr>
                                <w:t xml:space="preserve">454 857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 xml:space="preserve">HRADEC KRÁLOVÉ Horská střediska v Královéhradeckém kraji v Krkonoších a v Orlických horách hlásí výborné sněhové podmínky. Na sjezdových tratích leží od 30 do 150 centimetrů sněhu, upraveny jsou i desítky kilometrů tras pro běžkaře. Na horách by mělo být o víkendu slunečné počasí. </w:t>
                              </w:r>
                              <w:r>
                                <w:rPr>
                                  <w:noProof/>
                                  <w:sz w:val="21"/>
                                  <w:szCs w:val="21"/>
                                </w:rPr>
                                <w:br/>
                              </w:r>
                              <w:r>
                                <w:rPr>
                                  <w:noProof/>
                                  <w:sz w:val="21"/>
                                  <w:szCs w:val="21"/>
                                </w:rPr>
                                <w:t xml:space="preserve">Provozovatelé uvítali zrušení povinnosti prokazovat se při koupi skipasu dokladem o očkování či o prodělání covidu. Vlekaři věří, že to zvedne návštěvnost. Podle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byla někde až o 30 procent nižší. „Odrazovalo to i polskou a německou klientelu,“ uvedl ředitel asociace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V šesti střediscích SkiResortu Černá hora - Pec pod Sněžkou mají lyžaři k dispozici přes 46 kilometrů sjezdovek s více než metrem sněhu. </w:t>
                              </w:r>
                              <w:r>
                                <w:rPr>
                                  <w:noProof/>
                                  <w:sz w:val="21"/>
                                  <w:szCs w:val="21"/>
                                </w:rPr>
                                <w:br/>
                              </w:r>
                              <w:r>
                                <w:rPr>
                                  <w:noProof/>
                                  <w:sz w:val="21"/>
                                  <w:szCs w:val="21"/>
                                </w:rPr>
                                <w:t xml:space="preserve">„Mezi areály jezdí bezplatné skibusy, přejet z Černé hory do Pece lze také na lyžích. Běžkaři mají na Černé i Světlé hoře a kolem Pece pod Sněžkou připraveno víc než 62 kilometrů tratí,“ řekla mluvčí SkiResortu Zina Plchová. Večerní lyžování je možné na Černé hoře, v Peci pod Sněžkou, Velké Úpě a od čtvrtka do soboty také ve Svobodě nad Úpou. </w:t>
                              </w:r>
                              <w:r>
                                <w:rPr>
                                  <w:noProof/>
                                  <w:sz w:val="21"/>
                                  <w:szCs w:val="21"/>
                                </w:rPr>
                                <w:br/>
                              </w:r>
                              <w:r>
                                <w:rPr>
                                  <w:noProof/>
                                  <w:sz w:val="21"/>
                                  <w:szCs w:val="21"/>
                                </w:rPr>
                                <w:t xml:space="preserve">V největším českém lyžařském středisku ve Špindlerově Mlýně se ve čtvrtek lyžovalo na 26 kilometrech sjezdovek, kde ležel asi půlmetr sněhu. Připraveny jsou všechny hlavní sjezdové tratě. Za plného provozu na nich středisko nabízí 27 kilometrů. Dostatek sněhu na sjezdovkách hlásí i menší a níže položené krkonošské areály jako třeba Mladé Buky, Prkenný Důl, Dolní Dvůr, Strážné. </w:t>
                              </w:r>
                              <w:r>
                                <w:rPr>
                                  <w:noProof/>
                                  <w:sz w:val="21"/>
                                  <w:szCs w:val="21"/>
                                </w:rPr>
                                <w:br/>
                              </w:r>
                              <w:r>
                                <w:rPr>
                                  <w:noProof/>
                                  <w:sz w:val="21"/>
                                  <w:szCs w:val="21"/>
                                </w:rPr>
                                <w:t xml:space="preserve">Kvalitní lyžování nabízejí i střediska v Orlických horách. V Říčkách je na sjezdovkách 100 až 150 centimetrů sněhu. „Otevřeny jsou všechny sjezdovky, v provozu je šestisedačková lanovka a pohyblivý pás. Běžecké trasy jsme upravili v úterý,“ uvedli vlekaři z Říček. I v Deštném v Orlických horách jsou přístupné všechny sjezdovky, leží na nich asi 85 centimetrů sněhu. </w:t>
                              </w:r>
                              <w:r>
                                <w:rPr>
                                  <w:noProof/>
                                  <w:sz w:val="21"/>
                                  <w:szCs w:val="21"/>
                                </w:rPr>
                                <w:br/>
                              </w:r>
                              <w:r>
                                <w:rPr>
                                  <w:noProof/>
                                  <w:sz w:val="21"/>
                                  <w:szCs w:val="21"/>
                                </w:rPr>
                                <w:t xml:space="preserve">V Krkonoších nadále platí třetí stupeň lavinového nebezpečí z pětidílné mezinárodní stupnice. </w:t>
                              </w:r>
                              <w:r>
                                <w:rPr>
                                  <w:noProof/>
                                  <w:sz w:val="21"/>
                                  <w:szCs w:val="21"/>
                                </w:rPr>
                                <w:br/>
                              </w:r>
                              <w:r>
                                <w:rPr>
                                  <w:noProof/>
                                  <w:sz w:val="21"/>
                                  <w:szCs w:val="21"/>
                                </w:rPr>
                                <w:br/>
                              </w:r>
                              <w:r>
                                <w:rPr>
                                  <w:noProof/>
                                  <w:sz w:val="21"/>
                                  <w:szCs w:val="21"/>
                                </w:rPr>
                                <w:t xml:space="preserve">Foto autor: Foto: Martin Veselý, MAFRA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75" w:type="dxa"/>
                                <w:left w:w="0" w:type="dxa"/>
                                <w:bottom w:w="0" w:type="dxa"/>
                                <w:right w:w="0" w:type="dxa"/>
                              </w:tcMar>
                              <w:vAlign w:val="center"/>
                            </w:tcPr>
                            <w:p>
                              <w:pPr>
                                <w:pBdr>
                                  <w:top w:val="none" w:sz="0" w:space="0" w:color="auto"/>
                                  <w:left w:val="none" w:sz="0" w:space="0" w:color="auto"/>
                                  <w:bottom w:val="none" w:sz="0" w:space="0" w:color="auto"/>
                                  <w:right w:val="none" w:sz="0" w:space="0" w:color="auto"/>
                                </w:pBdr>
                                <w:spacing w:line="255" w:lineRule="atLeast"/>
                                <w:jc w:val="left"/>
                                <w:rPr>
                                  <w:sz w:val="21"/>
                                  <w:szCs w:val="21"/>
                                </w:rPr>
                              </w:pPr>
                              <w:r>
                                <w:rPr>
                                  <w:rStyle w:val="any"/>
                                  <w:noProof/>
                                  <w:sz w:val="21"/>
                                  <w:szCs w:val="21"/>
                                </w:rPr>
                                <w:t xml:space="preserve">Region vydání: </w:t>
                              </w:r>
                              <w:r>
                                <w:rPr>
                                  <w:rStyle w:val="any"/>
                                  <w:noProof/>
                                  <w:color w:val="6B7276"/>
                                  <w:sz w:val="21"/>
                                  <w:szCs w:val="21"/>
                                </w:rPr>
                                <w:t>Mladá fronta DNES - Hradecký kraj</w:t>
                              </w:r>
                            </w:p>
                          </w:tc>
                        </w:tr>
                      </w:tbl>
                      <w:p>
                        <w:pPr>
                          <w:rPr>
                            <w:sz w:val="26"/>
                            <w:szCs w:val="26"/>
                          </w:rPr>
                        </w:pPr>
                      </w:p>
                    </w:tc>
                  </w:tr>
                </w:tbl>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8" w:name="_Toc256000002"/>
                  <w:r>
                    <w:rPr>
                      <w:rFonts w:ascii="Arial" w:eastAsia="Arial" w:hAnsi="Arial" w:cs="Arial"/>
                      <w:noProof/>
                      <w:color w:val="FFFFFF"/>
                      <w:sz w:val="0"/>
                      <w:szCs w:val="0"/>
                    </w:rPr>
                    <w:t>2. 18.02.2022</w:t>
                  </w:r>
                  <w:bookmarkEnd w:id="8"/>
                </w:p>
                <w:p>
                  <w:pPr>
                    <w:pBdr>
                      <w:top w:val="none" w:sz="0" w:space="0" w:color="auto"/>
                      <w:left w:val="none" w:sz="0" w:space="0" w:color="auto"/>
                      <w:bottom w:val="none" w:sz="0" w:space="0" w:color="auto"/>
                      <w:right w:val="none" w:sz="0" w:space="0" w:color="auto"/>
                    </w:pBdr>
                    <w:spacing w:line="330" w:lineRule="atLeast"/>
                    <w:rPr>
                      <w:sz w:val="26"/>
                      <w:szCs w:val="26"/>
                    </w:rPr>
                  </w:pPr>
                  <w:r>
                    <w:rPr>
                      <w:noProof/>
                      <w:sz w:val="26"/>
                      <w:szCs w:val="26"/>
                    </w:rPr>
                    <w:br/>
                  </w:r>
                </w:p>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tbl>
                        <w:tblPr>
                          <w:tblStyle w:val="table"/>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
                        <w:tblGrid>
                          <w:gridCol w:w="10500"/>
                        </w:tblGrid>
                        <w:tr>
                          <w:tblPrEx>
                            <w:jc w:val="center"/>
                            <w:tblCellSpacing w:w="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Heading1"/>
                                <w:pBdr>
                                  <w:top w:val="none" w:sz="0" w:space="0" w:color="auto"/>
                                  <w:left w:val="none" w:sz="0" w:space="0" w:color="auto"/>
                                  <w:bottom w:val="none" w:sz="0" w:space="0" w:color="auto"/>
                                  <w:right w:val="none" w:sz="0" w:space="0" w:color="auto"/>
                                </w:pBdr>
                                <w:spacing w:before="0" w:after="0" w:line="15" w:lineRule="atLeast"/>
                                <w:ind w:left="0" w:right="0"/>
                                <w:rPr>
                                  <w:color w:val="FFFFFF"/>
                                  <w:sz w:val="0"/>
                                  <w:szCs w:val="0"/>
                                </w:rPr>
                              </w:pPr>
                              <w:bookmarkStart w:id="9" w:name="_Toc256000003"/>
                              <w:r>
                                <w:rPr>
                                  <w:rFonts w:ascii="Arial" w:eastAsia="Arial" w:hAnsi="Arial" w:cs="Arial"/>
                                  <w:noProof/>
                                  <w:color w:val="FFFFFF"/>
                                  <w:sz w:val="0"/>
                                  <w:szCs w:val="0"/>
                                </w:rPr>
                                <w:t>Na jarní prázdniny mají horská střediska ještě dostatek kapacit</w:t>
                              </w:r>
                              <w:bookmarkEnd w:id="9"/>
                              <w:r>
                                <w:rPr>
                                  <w:color w:val="FFFFFF"/>
                                  <w:sz w:val="0"/>
                                  <w:szCs w:val="0"/>
                                </w:rPr>
                                <w:fldChar w:fldCharType="begin"/>
                              </w:r>
                              <w:r>
                                <w:rPr>
                                  <w:noProof/>
                                  <w:color w:val="FFFFFF"/>
                                  <w:sz w:val="0"/>
                                  <w:szCs w:val="0"/>
                                </w:rPr>
                                <w:instrText xml:space="preserve"> HYPERLINK \l "TOC__0__1" </w:instrText>
                              </w:r>
                              <w:r>
                                <w:rPr>
                                  <w:color w:val="FFFFFF"/>
                                  <w:sz w:val="0"/>
                                  <w:szCs w:val="0"/>
                                </w:rPr>
                                <w:fldChar w:fldCharType="separate"/>
                              </w:r>
                            </w:p>
                            <w:p>
                              <w:pPr>
                                <w:pBdr>
                                  <w:top w:val="none" w:sz="0" w:space="0" w:color="auto"/>
                                  <w:left w:val="none" w:sz="0" w:space="0" w:color="auto"/>
                                  <w:bottom w:val="none" w:sz="0" w:space="0" w:color="auto"/>
                                  <w:right w:val="none" w:sz="0" w:space="0" w:color="auto"/>
                                </w:pBdr>
                                <w:spacing w:line="330" w:lineRule="atLeast"/>
                                <w:rPr>
                                  <w:rStyle w:val="any"/>
                                  <w:color w:val="21262A"/>
                                  <w:sz w:val="27"/>
                                  <w:szCs w:val="27"/>
                                  <w:u w:val="single" w:color="21262A"/>
                                </w:rPr>
                              </w:pPr>
                              <w:r>
                                <w:rPr>
                                  <w:rStyle w:val="any"/>
                                  <w:noProof/>
                                  <w:color w:val="21262A"/>
                                  <w:sz w:val="27"/>
                                  <w:szCs w:val="27"/>
                                  <w:u w:val="single" w:color="21262A"/>
                                </w:rPr>
                                <w:t>Na jarní prázdniny mají horská střediska ještě dostatek kapacit</w:t>
                              </w:r>
                              <w:bookmarkStart w:id="10" w:name="Art__0__1"/>
                              <w:r>
                                <w:rPr>
                                  <w:rStyle w:val="any"/>
                                  <w:color w:val="21262A"/>
                                  <w:sz w:val="27"/>
                                  <w:szCs w:val="27"/>
                                  <w:u w:val="single" w:color="21262A"/>
                                </w:rPr>
                                <w:fldChar w:fldCharType="end"/>
                              </w:r>
                              <w:bookmarkEnd w:id="10"/>
                              <w:r>
                                <w:rPr>
                                  <w:noProof/>
                                  <w:sz w:val="26"/>
                                  <w:szCs w:val="26"/>
                                </w:rPr>
                                <w:t xml:space="preserve"> </w:t>
                              </w:r>
                              <w:r>
                                <w:rPr>
                                  <w:sz w:val="26"/>
                                  <w:szCs w:val="26"/>
                                </w:rPr>
                                <w:fldChar w:fldCharType="begin"/>
                              </w:r>
                              <w:r>
                                <w:rPr>
                                  <w:noProof/>
                                  <w:sz w:val="26"/>
                                  <w:szCs w:val="26"/>
                                </w:rPr>
                                <w:instrText xml:space="preserve"> HYPERLINK "https://www.e-vsudybyl.cz/bleskovky/na-jarni-prazdniny-maji-horska-strediska-jeste-dostatek-kapacit/" </w:instrText>
                              </w:r>
                              <w:r>
                                <w:rPr>
                                  <w:sz w:val="26"/>
                                  <w:szCs w:val="26"/>
                                </w:rPr>
                                <w:fldChar w:fldCharType="separate"/>
                              </w:r>
                              <w:r>
                                <w:rPr>
                                  <w:rStyle w:val="link-url"/>
                                  <w:noProof/>
                                </w:rPr>
                                <w:t>URL</w:t>
                              </w:r>
                              <w:r>
                                <w:rPr>
                                  <w:rStyle w:val="link-url"/>
                                </w:rPr>
                                <w:fldChar w:fldCharType="end"/>
                              </w:r>
                              <w:r>
                                <w:rPr>
                                  <w:rStyle w:val="any"/>
                                  <w:noProof/>
                                  <w:sz w:val="23"/>
                                  <w:szCs w:val="23"/>
                                </w:rPr>
                                <w:t xml:space="preserve"> </w:t>
                              </w:r>
                            </w:p>
                          </w:tc>
                        </w:tr>
                        <w:tr>
                          <w:tblPrEx>
                            <w:jc w:val="center"/>
                            <w:tblCellSpacing w:w="0" w:type="dxa"/>
                            <w:tblCellMar>
                              <w:top w:w="0" w:type="dxa"/>
                              <w:left w:w="0" w:type="dxa"/>
                              <w:bottom w:w="0" w:type="dxa"/>
                              <w:right w:w="0" w:type="dxa"/>
                            </w:tblCellMar>
                            <w:tblLook w:val="05E0"/>
                          </w:tblPrEx>
                          <w:trPr>
                            <w:tblCellSpacing w:w="0" w:type="dxa"/>
                            <w:jc w:val="center"/>
                          </w:trPr>
                          <w:tc>
                            <w:tcPr>
                              <w:tcMar>
                                <w:top w:w="0" w:type="dxa"/>
                                <w:left w:w="0" w:type="dxa"/>
                                <w:bottom w:w="0" w:type="dxa"/>
                                <w:right w:w="0" w:type="dxa"/>
                              </w:tcMar>
                              <w:vAlign w:val="center"/>
                            </w:tcPr>
                            <w:p>
                              <w:pPr>
                                <w:pStyle w:val="metadata"/>
                                <w:pBdr>
                                  <w:top w:val="none" w:sz="0" w:space="0" w:color="auto"/>
                                  <w:left w:val="none" w:sz="0" w:space="0" w:color="auto"/>
                                  <w:bottom w:val="none" w:sz="0" w:space="0" w:color="auto"/>
                                  <w:right w:val="none" w:sz="0" w:space="0" w:color="auto"/>
                                </w:pBdr>
                                <w:spacing w:before="30" w:after="75"/>
                                <w:rPr>
                                  <w:color w:val="A4ACB3"/>
                                  <w:sz w:val="18"/>
                                  <w:szCs w:val="18"/>
                                </w:rPr>
                              </w:pPr>
                              <w:r>
                                <w:rPr>
                                  <w:rStyle w:val="metadata-value"/>
                                  <w:noProof/>
                                </w:rPr>
                                <w:t xml:space="preserve">e-vsudybyl.cz </w:t>
                              </w:r>
                              <w:r>
                                <w:rPr>
                                  <w:rStyle w:val="metadata-item"/>
                                  <w:noProof/>
                                </w:rPr>
                                <w:t xml:space="preserve">| </w:t>
                              </w:r>
                              <w:r>
                                <w:rPr>
                                  <w:rStyle w:val="metadata-value"/>
                                  <w:noProof/>
                                </w:rPr>
                                <w:t xml:space="preserve">18.02.2022 </w:t>
                              </w:r>
                              <w:r>
                                <w:rPr>
                                  <w:rStyle w:val="metadata-item"/>
                                  <w:noProof/>
                                </w:rPr>
                                <w:t>| Autor: </w:t>
                              </w:r>
                              <w:r>
                                <w:rPr>
                                  <w:rStyle w:val="metadata-value"/>
                                  <w:noProof/>
                                </w:rPr>
                                <w:t xml:space="preserve">Připravila Iva Řeřichová </w:t>
                              </w:r>
                            </w:p>
                            <w:p>
                              <w:pPr>
                                <w:pStyle w:val="content-width"/>
                                <w:pBdr>
                                  <w:top w:val="none" w:sz="0" w:space="0" w:color="auto"/>
                                  <w:left w:val="none" w:sz="0" w:space="0" w:color="auto"/>
                                  <w:bottom w:val="none" w:sz="0" w:space="0" w:color="auto"/>
                                  <w:right w:val="none" w:sz="0" w:space="0" w:color="auto"/>
                                </w:pBdr>
                                <w:spacing w:before="75" w:after="75" w:line="255" w:lineRule="atLeast"/>
                                <w:jc w:val="left"/>
                                <w:rPr>
                                  <w:sz w:val="21"/>
                                  <w:szCs w:val="21"/>
                                </w:rPr>
                              </w:pPr>
                              <w:r>
                                <w:rPr>
                                  <w:noProof/>
                                  <w:sz w:val="21"/>
                                  <w:szCs w:val="21"/>
                                </w:rPr>
                                <w:t>Sněhová pokrývka na českých horách přináší výborné podmínky pro lyžování, a i další předpovědi jsou příznivé. Zájemci si i díky rozvolnění pandemických opatření mohou své oblíbené zimní sporty užívat bez větších omezení. Horská střediska navíc stále hlásí dostatek ubytovacích kapacit v období jarních prázdnin.</w:t>
                              </w:r>
                              <w:r>
                                <w:rPr>
                                  <w:noProof/>
                                  <w:sz w:val="21"/>
                                  <w:szCs w:val="21"/>
                                </w:rPr>
                                <w:br/>
                              </w:r>
                              <w:r>
                                <w:rPr>
                                  <w:noProof/>
                                  <w:sz w:val="21"/>
                                  <w:szCs w:val="21"/>
                                </w:rPr>
                                <w:br/>
                              </w:r>
                              <w:r>
                                <w:rPr>
                                  <w:noProof/>
                                  <w:sz w:val="21"/>
                                  <w:szCs w:val="21"/>
                                </w:rPr>
                                <w:t xml:space="preserve">I přes teplé počasí v nížinách je na českých horách dostatek sněhu a skiareály tak nabízejí příznivé podmínky pro lyžování. Na pěti stovkách kilometrů upravených sjezdovek leží v průměru půl metru sněhu, a to v kombinaci technického a přírodního. Někde sněhová pokrývka dosahuje výšky až jednoho a půl metru. Nejinak tomu bude i v příštích dnech, podle předpovědi počasí nemá dojít k významnější změně. „Sněhové podmínky pro tuto sezónu jsou stabilní prakticky ve všech horských střediscích. Díky tomu si milovníci zimních sportů můžou užívat upravených sjezdovek i běžeckých tras,“ říká prezidentka </w:t>
                              </w:r>
                              <w:r>
                                <w:rPr>
                                  <w:rStyle w:val="any"/>
                                  <w:noProof/>
                                  <w:sz w:val="21"/>
                                  <w:szCs w:val="21"/>
                                  <w:shd w:val="clear" w:color="auto" w:fill="F9C812"/>
                                </w:rPr>
                                <w:t>Asociace</w:t>
                              </w:r>
                              <w:r>
                                <w:rPr>
                                  <w:noProof/>
                                  <w:sz w:val="21"/>
                                  <w:szCs w:val="21"/>
                                </w:rPr>
                                <w:t xml:space="preserve"> </w:t>
                              </w:r>
                              <w:r>
                                <w:rPr>
                                  <w:rStyle w:val="any"/>
                                  <w:noProof/>
                                  <w:sz w:val="21"/>
                                  <w:szCs w:val="21"/>
                                  <w:shd w:val="clear" w:color="auto" w:fill="F9C812"/>
                                </w:rPr>
                                <w:t>horských</w:t>
                              </w:r>
                              <w:r>
                                <w:rPr>
                                  <w:noProof/>
                                  <w:sz w:val="21"/>
                                  <w:szCs w:val="21"/>
                                </w:rPr>
                                <w:t xml:space="preserve"> </w:t>
                              </w:r>
                              <w:r>
                                <w:rPr>
                                  <w:rStyle w:val="any"/>
                                  <w:noProof/>
                                  <w:sz w:val="21"/>
                                  <w:szCs w:val="21"/>
                                  <w:shd w:val="clear" w:color="auto" w:fill="F9C812"/>
                                </w:rPr>
                                <w:t>středisek</w:t>
                              </w:r>
                              <w:r>
                                <w:rPr>
                                  <w:noProof/>
                                  <w:sz w:val="21"/>
                                  <w:szCs w:val="21"/>
                                </w:rPr>
                                <w:t xml:space="preserve"> (</w:t>
                              </w:r>
                              <w:r>
                                <w:rPr>
                                  <w:rStyle w:val="any"/>
                                  <w:noProof/>
                                  <w:sz w:val="21"/>
                                  <w:szCs w:val="21"/>
                                  <w:shd w:val="clear" w:color="auto" w:fill="F9C812"/>
                                </w:rPr>
                                <w:t>AHS</w:t>
                              </w:r>
                              <w:r>
                                <w:rPr>
                                  <w:noProof/>
                                  <w:sz w:val="21"/>
                                  <w:szCs w:val="21"/>
                                </w:rPr>
                                <w:t xml:space="preserve">) Kateřina Neumannová. </w:t>
                              </w:r>
                              <w:r>
                                <w:rPr>
                                  <w:noProof/>
                                  <w:sz w:val="21"/>
                                  <w:szCs w:val="21"/>
                                </w:rPr>
                                <w:br/>
                              </w:r>
                              <w:r>
                                <w:rPr>
                                  <w:noProof/>
                                  <w:sz w:val="21"/>
                                  <w:szCs w:val="21"/>
                                </w:rPr>
                                <w:t xml:space="preserve">Veškeré aktuální informace o lyžařských areálech se objevují na webu holidayinfo.cz, kde zájemci najdou nejširší zpravodajství o stavu sněhu a počasí včetně kamerových přenosů přímo ze skiareálů, o aktuálních akcích apod. </w:t>
                              </w:r>
                              <w:r>
                                <w:rPr>
                                  <w:noProof/>
                                  <w:sz w:val="21"/>
                                  <w:szCs w:val="21"/>
                                </w:rPr>
                                <w:br/>
                              </w:r>
                              <w:r>
                                <w:rPr>
                                  <w:noProof/>
                                  <w:sz w:val="21"/>
                                  <w:szCs w:val="21"/>
                                </w:rPr>
                                <w:t xml:space="preserve">Díky uvolnění covidových opatření můžou skiareály navštívit všichni bez omezení. Již odpadá podmínka prokázání se dokladem o bezinfekčnosti při nákupu skipasu nebo při využívání dalších služeb. „Návštěvníkům ale dále doporučujeme nákup skipasů nebo rezervaci vybavení zajistit předem online, případně na místě využít bezkontaktních pokladen. Předchází tím nejen shlukování osob, ale také je odbavení rychlejší a tento způsob nákupu je téměř vždy i levnější, “ dodává ředitel </w:t>
                              </w:r>
                              <w:r>
                                <w:rPr>
                                  <w:rStyle w:val="any"/>
                                  <w:noProof/>
                                  <w:sz w:val="21"/>
                                  <w:szCs w:val="21"/>
                                  <w:shd w:val="clear" w:color="auto" w:fill="F9C812"/>
                                </w:rPr>
                                <w:t>AHS</w:t>
                              </w:r>
                              <w:r>
                                <w:rPr>
                                  <w:noProof/>
                                  <w:sz w:val="21"/>
                                  <w:szCs w:val="21"/>
                                </w:rPr>
                                <w:t xml:space="preserv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Zájemci o pobyty na českých horách v průběhu jarních prázdnin se nemusí obávat nedostatku ubytovacích kapacit. Stále je možné sehnat ubytování i pro nadcházející dny či týdny, zařízení v průměru uvádí 20 až 30% volné kapacity. Na druhou stranu, část návštěvníků vyčkávala na rozvolnění aktuálních podmínek pro lyžování a tento týden se i uvolnila pravidla pro příjezd zahraničních turistů, takže tlak na ubytovací kapacity vzroste. „Lidé během pandemie změnili své návyky a stejně jako v letní sezóně, vyčkávali s rezervacemi na poslední chvíli. Tento přístup bych ale v případě ubytování na jarní prázdniny nezvolil a s rezervací doporučuji již neotálet,“ doplňuje </w:t>
                              </w:r>
                              <w:r>
                                <w:rPr>
                                  <w:rStyle w:val="any"/>
                                  <w:noProof/>
                                  <w:sz w:val="21"/>
                                  <w:szCs w:val="21"/>
                                  <w:shd w:val="clear" w:color="auto" w:fill="F9C812"/>
                                </w:rPr>
                                <w:t>Libor</w:t>
                              </w:r>
                              <w:r>
                                <w:rPr>
                                  <w:noProof/>
                                  <w:sz w:val="21"/>
                                  <w:szCs w:val="21"/>
                                </w:rPr>
                                <w:t xml:space="preserve"> </w:t>
                              </w:r>
                              <w:r>
                                <w:rPr>
                                  <w:rStyle w:val="any"/>
                                  <w:noProof/>
                                  <w:sz w:val="21"/>
                                  <w:szCs w:val="21"/>
                                  <w:shd w:val="clear" w:color="auto" w:fill="F9C812"/>
                                </w:rPr>
                                <w:t>Knot</w:t>
                              </w:r>
                              <w:r>
                                <w:rPr>
                                  <w:noProof/>
                                  <w:sz w:val="21"/>
                                  <w:szCs w:val="21"/>
                                </w:rPr>
                                <w:t xml:space="preserve">. </w:t>
                              </w:r>
                              <w:r>
                                <w:rPr>
                                  <w:noProof/>
                                  <w:sz w:val="21"/>
                                  <w:szCs w:val="21"/>
                                </w:rPr>
                                <w:br/>
                              </w:r>
                              <w:r>
                                <w:rPr>
                                  <w:noProof/>
                                  <w:sz w:val="21"/>
                                  <w:szCs w:val="21"/>
                                </w:rPr>
                                <w:t xml:space="preserve">Lyžařské školy již také fungují bez omezení. Určitým limitem je jen dlouhodobý pokles počtu instruktorů, který je způsoben nejen pandemií, která obecně přesunula zaměstnance z postiženého sektoru cestovního ruchu, ale také ochotou snášet snížený komfort při sezónní práci na horách. Kapacita škol je nejvytíženější převážně během víkendů, kdy horská střediska nejsou schopná pokrýt celou poptávku. Naopak během všedních dnů je zájem výrazně nižší. Aby zájemci měli jistotu, že se do vybraného kurzu dostanou, je důležité objednat se na něj předem. </w:t>
                              </w:r>
                              <w:r>
                                <w:rPr>
                                  <w:noProof/>
                                  <w:sz w:val="21"/>
                                  <w:szCs w:val="21"/>
                                </w:rPr>
                                <w:br/>
                              </w:r>
                              <w:r>
                                <w:rPr>
                                  <w:noProof/>
                                  <w:sz w:val="21"/>
                                  <w:szCs w:val="21"/>
                                </w:rPr>
                                <w:t xml:space="preserve">Horská střediska během příprav na letošní zimní sezónu investovala téměř 1 miliardu korun, a to převážně do zvýšení bezpečnosti kvality a komfortu služeb, kam putovalo nejvíce prostředků. Jednalo se zejména o modernizace přepravních zařízení a sjezdovek, nové večerní lyžování, skicrossové tratě a on-line řešení nákupů skipasů či rezervace zapůjčení vybavení. </w:t>
                              </w:r>
                              <w:r>
                                <w:rPr>
                                  <w:noProof/>
                                  <w:sz w:val="21"/>
                                  <w:szCs w:val="21"/>
                                </w:rPr>
                                <w:br/>
                              </w:r>
                              <w:r>
                                <w:rPr>
                                  <w:noProof/>
                                  <w:sz w:val="21"/>
                                  <w:szCs w:val="21"/>
                                </w:rPr>
                                <w:t xml:space="preserve">Připravila Iva Řeřichová. </w:t>
                              </w:r>
                              <w:r>
                                <w:rPr>
                                  <w:noProof/>
                                  <w:sz w:val="21"/>
                                  <w:szCs w:val="21"/>
                                </w:rPr>
                                <w:br/>
                              </w:r>
                              <w:r>
                                <w:rPr>
                                  <w:noProof/>
                                  <w:sz w:val="21"/>
                                  <w:szCs w:val="21"/>
                                </w:rPr>
                                <w:br/>
                              </w:r>
                              <w:r>
                                <w:rPr>
                                  <w:noProof/>
                                  <w:sz w:val="21"/>
                                  <w:szCs w:val="21"/>
                                </w:rPr>
                                <w:br/>
                              </w:r>
                            </w:p>
                          </w:tc>
                        </w:tr>
                      </w:tbl>
                      <w:p>
                        <w:pPr>
                          <w:rPr>
                            <w:sz w:val="26"/>
                            <w:szCs w:val="26"/>
                          </w:rPr>
                        </w:pPr>
                      </w:p>
                    </w:tc>
                  </w:tr>
                </w:tbl>
                <w:p>
                  <w:pPr>
                    <w:rPr>
                      <w:sz w:val="26"/>
                      <w:szCs w:val="26"/>
                    </w:rPr>
                  </w:pPr>
                </w:p>
              </w:tc>
            </w:tr>
          </w:tbl>
          <w:p>
            <w:pPr>
              <w:rPr>
                <w:sz w:val="26"/>
                <w:szCs w:val="26"/>
              </w:rPr>
            </w:pPr>
          </w:p>
        </w:tc>
      </w:tr>
    </w:tbl>
    <w:p/>
    <w:sectPr>
      <w:footerReference w:type="default" r:id="rId5"/>
      <w:pgMar w:right="850" w:left="850"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PAGE</w:instrText>
    </w:r>
    <w:r>
      <w:fldChar w:fldCharType="separate"/>
    </w:r>
    <w:r>
      <w:fldChar w:fldCharType="end"/>
    </w:r>
    <w:r>
      <w:t>/</w:t>
    </w:r>
    <w:r>
      <w:fldChar w:fldCharType="begin"/>
    </w:r>
    <w:r>
      <w:instrText>NUMPAGES</w:instrText>
    </w:r>
    <w:r>
      <w:fldChar w:fldCharType="separate"/>
    </w:r>
    <w:r>
      <w:fldChar w:fldCharType="end"/>
    </w:r>
    <w:r>
      <w:t xml:space="preserve"> </w:t>
      <w:tab/>
      <w:t xml:space="preserve"> © </w:t>
    </w:r>
    <w:r>
      <w:fldChar w:fldCharType="begin"/>
    </w:r>
    <w:r>
      <w:instrText>DATE \@ "yyyy"</w:instrText>
    </w:r>
    <w:r>
      <w:fldChar w:fldCharType="separate"/>
    </w:r>
    <w:r>
      <w:fldChar w:fldCharType="end"/>
    </w:r>
    <w:r>
      <w:t xml:space="preserve"> NEWTON Media | www.newtonmedia.eu | </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updateFields w:val="true"/>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rFonts w:ascii="Arial" w:eastAsia="Arial" w:hAnsi="Arial" w:cs="Arial"/>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any">
    <w:name w:val="any"/>
    <w:basedOn w:val="DefaultParagraphFont"/>
  </w:style>
  <w:style w:type="table" w:customStyle="1" w:styleId="table">
    <w:name w:val="table"/>
    <w:basedOn w:val="TableNormal"/>
    <w:tblPr/>
  </w:style>
  <w:style w:type="paragraph" w:customStyle="1" w:styleId="content-width">
    <w:name w:val="content-width"/>
    <w:basedOn w:val="Normal"/>
  </w:style>
  <w:style w:type="paragraph" w:customStyle="1" w:styleId="anyParagraph">
    <w:name w:val="any Paragraph"/>
    <w:basedOn w:val="Normal"/>
  </w:style>
  <w:style w:type="paragraph" w:customStyle="1" w:styleId="topic-name">
    <w:name w:val="topic-name"/>
    <w:basedOn w:val="Normal"/>
    <w:pPr>
      <w:pBdr>
        <w:top w:val="single" w:sz="12" w:space="7" w:color="F2F2F2"/>
        <w:left w:val="none" w:sz="0" w:space="0" w:color="auto"/>
        <w:bottom w:val="single" w:sz="12" w:space="7" w:color="F2F2F2"/>
      </w:pBdr>
      <w:shd w:val="clear" w:color="auto" w:fill="F9F9F9"/>
      <w:jc w:val="center"/>
    </w:pPr>
    <w:rPr>
      <w:b/>
      <w:bCs/>
      <w:color w:val="666666"/>
      <w:shd w:val="clear" w:color="auto" w:fill="F9F9F9"/>
    </w:rPr>
  </w:style>
  <w:style w:type="character" w:customStyle="1" w:styleId="topic-name-0">
    <w:name w:val="topic-name-0"/>
    <w:basedOn w:val="DefaultParagraphFont"/>
    <w:rPr>
      <w:color w:val="333333"/>
      <w:sz w:val="25"/>
      <w:szCs w:val="25"/>
    </w:rPr>
  </w:style>
  <w:style w:type="paragraph" w:customStyle="1" w:styleId="metadata">
    <w:name w:val="metadata"/>
    <w:basedOn w:val="Normal"/>
    <w:pPr>
      <w:spacing w:line="240" w:lineRule="atLeast"/>
    </w:pPr>
    <w:rPr>
      <w:color w:val="A4ACB3"/>
      <w:sz w:val="18"/>
      <w:szCs w:val="18"/>
    </w:rPr>
  </w:style>
  <w:style w:type="character" w:customStyle="1" w:styleId="metadata-item">
    <w:name w:val="metadata-item"/>
    <w:basedOn w:val="DefaultParagraphFont"/>
    <w:rPr>
      <w:color w:val="6B7276"/>
      <w:sz w:val="18"/>
      <w:szCs w:val="18"/>
    </w:rPr>
  </w:style>
  <w:style w:type="character" w:customStyle="1" w:styleId="metadata-value">
    <w:name w:val="metadata-value"/>
    <w:basedOn w:val="DefaultParagraphFont"/>
    <w:rPr>
      <w:color w:val="6B7276"/>
    </w:rPr>
  </w:style>
  <w:style w:type="paragraph" w:customStyle="1" w:styleId="duplicities">
    <w:name w:val="duplicities"/>
    <w:basedOn w:val="Normal"/>
  </w:style>
  <w:style w:type="character" w:customStyle="1" w:styleId="link-url">
    <w:name w:val="link-url"/>
    <w:basedOn w:val="DefaultParagraphFont"/>
    <w:rPr>
      <w:color w:val="00A4DF"/>
      <w:sz w:val="18"/>
      <w:szCs w:val="18"/>
    </w:rPr>
  </w:style>
  <w:style w:type="paragraph" w:styleId="TOC1">
    <w:name w:val="toc 1"/>
    <w:basedOn w:val="Normal"/>
    <w:next w:val="Normal"/>
    <w:autoRedefine/>
    <w:rsid w:val="00805BCE"/>
    <w:pPr>
      <w:tabs>
        <w:tab w:val="right" w:pos="10400"/>
      </w:tabs>
      <w:spacing w:after="200"/>
    </w:pPr>
    <w:rPr>
      <w:b w:val="0"/>
      <w:sz w:val="24"/>
    </w:rPr>
  </w:style>
  <w:style w:type="paragraph" w:styleId="TOC2">
    <w:name w:val="toc 2"/>
    <w:basedOn w:val="Normal"/>
    <w:next w:val="Normal"/>
    <w:autoRedefine/>
    <w:rsid w:val="00805BCE"/>
    <w:pPr>
      <w:tabs>
        <w:tab w:val="right" w:pos="10400"/>
      </w:tabs>
      <w:spacing w:after="200"/>
      <w:ind w:left="240"/>
      <w:contextualSpacing w:val="0"/>
    </w:pPr>
    <w:rPr>
      <w:b w:val="0"/>
      <w:sz w:val="22"/>
    </w:rPr>
  </w:style>
  <w:style w:type="paragraph" w:styleId="TOC3">
    <w:name w:val="toc 3"/>
    <w:basedOn w:val="Normal"/>
    <w:next w:val="Normal"/>
    <w:autoRedefine/>
    <w:rsid w:val="00805BCE"/>
    <w:pPr>
      <w:tabs>
        <w:tab w:val="right" w:pos="10400"/>
      </w:tabs>
      <w:spacing w:after="200"/>
      <w:ind w:left="480"/>
      <w:contextualSpacing w:val="0"/>
    </w:pPr>
    <w:rPr>
      <w:b w:val="0"/>
      <w:i w:val="0"/>
      <w:sz w:val="20"/>
    </w:rPr>
  </w:style>
  <w:style w:type="paragraph" w:styleId="TOC4">
    <w:name w:val="toc 4"/>
    <w:basedOn w:val="Normal"/>
    <w:next w:val="Normal"/>
    <w:autoRedefine/>
    <w:rsid w:val="00805BCE"/>
    <w:pPr>
      <w:tabs>
        <w:tab w:val="right" w:pos="10400"/>
      </w:tabs>
      <w:spacing w:after="200"/>
      <w:ind w:left="720"/>
      <w:contextualSpacing w:val="0"/>
    </w:pPr>
    <w:rPr>
      <w:b w:val="0"/>
      <w:i w:val="0"/>
      <w:sz w:val="18"/>
    </w:rPr>
  </w:style>
  <w:style w:type="paragraph" w:styleId="TOC5">
    <w:name w:val="toc 5"/>
    <w:basedOn w:val="Normal"/>
    <w:next w:val="Normal"/>
    <w:autoRedefine/>
    <w:rsid w:val="00805BCE"/>
    <w:pPr>
      <w:tabs>
        <w:tab w:val="right" w:pos="10400"/>
      </w:tabs>
      <w:spacing w:after="200"/>
      <w:ind w:left="960"/>
      <w:contextualSpacing w:val="0"/>
    </w:pPr>
    <w:rPr>
      <w:b w:val="0"/>
      <w:i w:val="0"/>
      <w:sz w:val="18"/>
    </w:rPr>
  </w:style>
  <w:style w:type="character" w:styleId="Hyperlink">
    <w:name w:val="Hyperlink"/>
    <w:basedOn w:val="DefaultParagraphFont"/>
    <w:rsid w:val="00EF7B96"/>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fontTable" Target="fontTable.xml"/><Relationship Id="rId7" Type="http://schemas.openxmlformats.org/officeDocument/2006/relationships/customXml" Target="../customXml/item1.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styles" Target="styles.xml"/><Relationship Id="rId5" Type="http://schemas.openxmlformats.org/officeDocument/2006/relationships/footer" Target="footer1.xml"/><Relationship Id="rId4" Type="http://schemas.openxmlformats.org/officeDocument/2006/relationships/image" Target="media/image1.png"/><Relationship Id="rId9"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9F4E44D781B4280EE4EB09E3B3596" ma:contentTypeVersion="13" ma:contentTypeDescription="Vytvoří nový dokument" ma:contentTypeScope="" ma:versionID="2f7fdaaa81a4f1a6b14a9a7870b17f6a">
  <xsd:schema xmlns:xsd="http://www.w3.org/2001/XMLSchema" xmlns:xs="http://www.w3.org/2001/XMLSchema" xmlns:p="http://schemas.microsoft.com/office/2006/metadata/properties" xmlns:ns2="c4bd89eb-21fa-4fdd-b1c5-cc2ed2d0c008" xmlns:ns3="c8a507f3-de26-4dcb-9614-5e60dd875d15" targetNamespace="http://schemas.microsoft.com/office/2006/metadata/properties" ma:root="true" ma:fieldsID="96b804ce81448522a9e7e69217bf27cd" ns2:_="" ns3:_="">
    <xsd:import namespace="c4bd89eb-21fa-4fdd-b1c5-cc2ed2d0c008"/>
    <xsd:import namespace="c8a507f3-de26-4dcb-9614-5e60dd875d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d89eb-21fa-4fdd-b1c5-cc2ed2d0c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a507f3-de26-4dcb-9614-5e60dd875d1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36E5C-4D36-445E-8A75-59F4D5557F14}"/>
</file>

<file path=customXml/itemProps2.xml><?xml version="1.0" encoding="utf-8"?>
<ds:datastoreItem xmlns:ds="http://schemas.openxmlformats.org/officeDocument/2006/customXml" ds:itemID="{EC988EAD-0740-49BB-AC53-02EC29F2ABEB}"/>
</file>

<file path=customXml/itemProps3.xml><?xml version="1.0" encoding="utf-8"?>
<ds:datastoreItem xmlns:ds="http://schemas.openxmlformats.org/officeDocument/2006/customXml" ds:itemID="{FFDC843E-CA76-42A1-AECB-D06823BF9160}"/>
</file>

<file path=docProps/app.xml><?xml version="1.0" encoding="utf-8"?>
<Properties xmlns="http://schemas.openxmlformats.org/officeDocument/2006/extended-properties" xmlns:vt="http://schemas.openxmlformats.org/officeDocument/2006/docPropsVTypes">
  <TotalTime>0</TotalTime>
  <Pages>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0x0101006049F4E44D781B4280EE4EB09E3B3596</vt:lpwstr>
  </property>
</Properties>
</file>